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A2FB" w14:textId="77777777" w:rsidR="00D3127B" w:rsidRPr="00CA2D25" w:rsidRDefault="002732FA">
      <w:pPr>
        <w:pStyle w:val="Corpotesto"/>
        <w:ind w:left="109"/>
        <w:rPr>
          <w:rFonts w:asciiTheme="majorHAnsi" w:hAnsiTheme="majorHAnsi"/>
          <w:b w:val="0"/>
          <w:sz w:val="22"/>
          <w:szCs w:val="22"/>
        </w:rPr>
      </w:pPr>
      <w:r w:rsidRPr="00CA2D25">
        <w:rPr>
          <w:rFonts w:asciiTheme="majorHAnsi" w:hAnsiTheme="majorHAnsi"/>
          <w:b w:val="0"/>
          <w:noProof/>
          <w:sz w:val="22"/>
          <w:szCs w:val="22"/>
        </w:rPr>
        <w:drawing>
          <wp:inline distT="0" distB="0" distL="0" distR="0" wp14:anchorId="2EDE5C2B" wp14:editId="2382A2DB">
            <wp:extent cx="1256670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70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B2F61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1E657EEC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36C2DFAE" w14:textId="77777777" w:rsidR="00D3127B" w:rsidRPr="00CA2D25" w:rsidRDefault="00D3127B">
      <w:pPr>
        <w:pStyle w:val="Corpotesto"/>
        <w:spacing w:before="9"/>
        <w:rPr>
          <w:rFonts w:asciiTheme="majorHAnsi" w:hAnsiTheme="majorHAnsi"/>
          <w:b w:val="0"/>
          <w:sz w:val="22"/>
          <w:szCs w:val="22"/>
        </w:rPr>
      </w:pPr>
    </w:p>
    <w:p w14:paraId="6D0BD5AC" w14:textId="25BB9577" w:rsidR="00D3127B" w:rsidRPr="00CA2D25" w:rsidRDefault="002732FA">
      <w:pPr>
        <w:spacing w:before="100"/>
        <w:ind w:left="5743"/>
        <w:rPr>
          <w:rFonts w:asciiTheme="majorHAnsi" w:hAnsiTheme="majorHAnsi"/>
        </w:rPr>
      </w:pPr>
      <w:r w:rsidRPr="00CA2D25">
        <w:rPr>
          <w:rFonts w:asciiTheme="majorHAnsi" w:hAnsiTheme="majorHAnsi"/>
        </w:rPr>
        <w:t xml:space="preserve">Milano, </w:t>
      </w:r>
    </w:p>
    <w:p w14:paraId="7A1121EA" w14:textId="77777777" w:rsidR="00D3127B" w:rsidRPr="00CA2D25" w:rsidRDefault="00D3127B">
      <w:pPr>
        <w:pStyle w:val="Corpotesto"/>
        <w:spacing w:before="7"/>
        <w:rPr>
          <w:rFonts w:asciiTheme="majorHAnsi" w:hAnsiTheme="majorHAnsi"/>
          <w:b w:val="0"/>
          <w:sz w:val="22"/>
          <w:szCs w:val="22"/>
        </w:rPr>
      </w:pPr>
    </w:p>
    <w:p w14:paraId="7E4F06B7" w14:textId="77777777" w:rsidR="00D3127B" w:rsidRPr="00CA2D25" w:rsidRDefault="00D3127B">
      <w:pPr>
        <w:rPr>
          <w:rFonts w:asciiTheme="majorHAnsi" w:hAnsiTheme="majorHAnsi"/>
        </w:rPr>
        <w:sectPr w:rsidR="00D3127B" w:rsidRPr="00CA2D25">
          <w:type w:val="continuous"/>
          <w:pgSz w:w="11910" w:h="16840"/>
          <w:pgMar w:top="860" w:right="1020" w:bottom="280" w:left="600" w:header="720" w:footer="720" w:gutter="0"/>
          <w:cols w:space="720"/>
        </w:sectPr>
      </w:pPr>
    </w:p>
    <w:p w14:paraId="38C18C4C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73CEA823" w14:textId="77777777" w:rsidR="00D3127B" w:rsidRPr="00CA2D25" w:rsidRDefault="002732FA">
      <w:pPr>
        <w:spacing w:before="99"/>
        <w:ind w:left="107"/>
        <w:rPr>
          <w:rFonts w:asciiTheme="majorHAnsi" w:hAnsiTheme="majorHAnsi"/>
        </w:rPr>
      </w:pPr>
      <w:r w:rsidRPr="00CA2D25">
        <w:rPr>
          <w:rFonts w:asciiTheme="majorHAnsi" w:hAnsiTheme="majorHAnsi"/>
        </w:rPr>
        <w:br w:type="column"/>
      </w:r>
      <w:r w:rsidRPr="00CA2D25">
        <w:rPr>
          <w:rFonts w:asciiTheme="majorHAnsi" w:hAnsiTheme="majorHAnsi"/>
        </w:rPr>
        <w:t>Spett.le</w:t>
      </w:r>
    </w:p>
    <w:p w14:paraId="5A153C20" w14:textId="0ED01C48" w:rsidR="00D3127B" w:rsidRDefault="002732FA">
      <w:pPr>
        <w:spacing w:before="47"/>
        <w:ind w:left="107"/>
        <w:rPr>
          <w:rFonts w:asciiTheme="majorHAnsi" w:hAnsiTheme="majorHAnsi"/>
        </w:rPr>
      </w:pPr>
      <w:r w:rsidRPr="00CA2D25">
        <w:rPr>
          <w:rFonts w:asciiTheme="majorHAnsi" w:hAnsiTheme="majorHAnsi"/>
        </w:rPr>
        <w:t xml:space="preserve">Servizio Affari Generali e </w:t>
      </w:r>
      <w:r w:rsidR="00CA2D25">
        <w:rPr>
          <w:rFonts w:asciiTheme="majorHAnsi" w:hAnsiTheme="majorHAnsi"/>
        </w:rPr>
        <w:t>Gestione Organi Coll</w:t>
      </w:r>
      <w:r w:rsidRPr="00CA2D25">
        <w:rPr>
          <w:rFonts w:asciiTheme="majorHAnsi" w:hAnsiTheme="majorHAnsi"/>
        </w:rPr>
        <w:t>e</w:t>
      </w:r>
      <w:r w:rsidR="00CA2D25">
        <w:rPr>
          <w:rFonts w:asciiTheme="majorHAnsi" w:hAnsiTheme="majorHAnsi"/>
        </w:rPr>
        <w:t>giali</w:t>
      </w:r>
    </w:p>
    <w:p w14:paraId="521F4C38" w14:textId="77777777" w:rsidR="00575D96" w:rsidRPr="00CA2D25" w:rsidRDefault="00575D96">
      <w:pPr>
        <w:spacing w:before="47"/>
        <w:ind w:left="107"/>
        <w:rPr>
          <w:rFonts w:asciiTheme="majorHAnsi" w:hAnsiTheme="majorHAnsi"/>
        </w:rPr>
      </w:pPr>
    </w:p>
    <w:p w14:paraId="7BB089BD" w14:textId="77777777" w:rsidR="00D3127B" w:rsidRPr="00CA2D25" w:rsidRDefault="00D3127B">
      <w:pPr>
        <w:rPr>
          <w:rFonts w:asciiTheme="majorHAnsi" w:hAnsiTheme="majorHAnsi"/>
        </w:rPr>
        <w:sectPr w:rsidR="00D3127B" w:rsidRPr="00CA2D25">
          <w:type w:val="continuous"/>
          <w:pgSz w:w="11910" w:h="16840"/>
          <w:pgMar w:top="860" w:right="1020" w:bottom="280" w:left="600" w:header="720" w:footer="720" w:gutter="0"/>
          <w:cols w:num="2" w:space="720" w:equalWidth="0">
            <w:col w:w="2147" w:space="3488"/>
            <w:col w:w="4655"/>
          </w:cols>
        </w:sectPr>
      </w:pPr>
    </w:p>
    <w:p w14:paraId="3EA10A00" w14:textId="77777777" w:rsidR="00D3127B" w:rsidRPr="00CA2D25" w:rsidRDefault="00D3127B">
      <w:pPr>
        <w:pStyle w:val="Corpotesto"/>
        <w:spacing w:before="3"/>
        <w:rPr>
          <w:rFonts w:asciiTheme="majorHAnsi" w:hAnsiTheme="majorHAnsi"/>
          <w:b w:val="0"/>
          <w:sz w:val="22"/>
          <w:szCs w:val="22"/>
        </w:rPr>
      </w:pPr>
    </w:p>
    <w:p w14:paraId="43098308" w14:textId="5BEB24D7" w:rsidR="00D3127B" w:rsidRPr="00CA2D25" w:rsidRDefault="002732FA">
      <w:pPr>
        <w:pStyle w:val="Titolo1"/>
        <w:spacing w:before="101"/>
        <w:ind w:left="2308"/>
        <w:rPr>
          <w:rFonts w:asciiTheme="majorHAnsi" w:hAnsiTheme="majorHAnsi"/>
        </w:rPr>
      </w:pPr>
      <w:r w:rsidRPr="00CA2D25">
        <w:rPr>
          <w:rFonts w:asciiTheme="majorHAnsi" w:hAnsiTheme="majorHAnsi"/>
          <w:b w:val="0"/>
        </w:rPr>
        <w:t xml:space="preserve">OGGETTO: </w:t>
      </w:r>
      <w:r w:rsidRPr="00CA2D25">
        <w:rPr>
          <w:rFonts w:asciiTheme="majorHAnsi" w:hAnsiTheme="majorHAnsi"/>
        </w:rPr>
        <w:t xml:space="preserve">Richiesta estrazione dei </w:t>
      </w:r>
      <w:r w:rsidR="00856784">
        <w:rPr>
          <w:rFonts w:asciiTheme="majorHAnsi" w:hAnsiTheme="majorHAnsi"/>
        </w:rPr>
        <w:t>componenti</w:t>
      </w:r>
      <w:r w:rsidRPr="00CA2D25">
        <w:rPr>
          <w:rFonts w:asciiTheme="majorHAnsi" w:hAnsiTheme="majorHAnsi"/>
        </w:rPr>
        <w:t xml:space="preserve"> per la nomina della Commissione</w:t>
      </w:r>
      <w:r w:rsidR="00B04742">
        <w:rPr>
          <w:rFonts w:asciiTheme="majorHAnsi" w:hAnsiTheme="majorHAnsi"/>
        </w:rPr>
        <w:t xml:space="preserve"> dall’Albo dei Commissari</w:t>
      </w:r>
    </w:p>
    <w:p w14:paraId="5EF4AC5C" w14:textId="77777777" w:rsidR="00D3127B" w:rsidRPr="00CA2D25" w:rsidRDefault="00D3127B">
      <w:pPr>
        <w:pStyle w:val="Corpotesto"/>
        <w:spacing w:before="10"/>
        <w:rPr>
          <w:rFonts w:asciiTheme="majorHAnsi" w:hAnsiTheme="majorHAnsi"/>
          <w:sz w:val="22"/>
          <w:szCs w:val="22"/>
        </w:rPr>
      </w:pPr>
    </w:p>
    <w:p w14:paraId="6B85392F" w14:textId="6E948CC4" w:rsidR="00D3127B" w:rsidRPr="00CA2D25" w:rsidRDefault="00CA2D25" w:rsidP="00CA2D25">
      <w:pPr>
        <w:spacing w:line="288" w:lineRule="auto"/>
        <w:ind w:left="2234" w:right="109"/>
        <w:jc w:val="center"/>
        <w:rPr>
          <w:rFonts w:asciiTheme="majorHAnsi" w:hAnsiTheme="majorHAnsi"/>
          <w:b/>
          <w:i/>
          <w:iCs/>
        </w:rPr>
      </w:pPr>
      <w:r w:rsidRPr="00CA2D25">
        <w:rPr>
          <w:rFonts w:asciiTheme="majorHAnsi" w:hAnsiTheme="majorHAnsi"/>
          <w:b/>
          <w:i/>
          <w:iCs/>
        </w:rPr>
        <w:t>Indicare procedura e CIG</w:t>
      </w:r>
    </w:p>
    <w:p w14:paraId="70EFB243" w14:textId="77777777" w:rsidR="00D3127B" w:rsidRPr="00CA2D25" w:rsidRDefault="00D3127B">
      <w:pPr>
        <w:pStyle w:val="Corpotesto"/>
        <w:spacing w:before="5"/>
        <w:rPr>
          <w:rFonts w:asciiTheme="majorHAnsi" w:hAnsiTheme="majorHAnsi"/>
          <w:sz w:val="22"/>
          <w:szCs w:val="22"/>
        </w:rPr>
      </w:pPr>
    </w:p>
    <w:p w14:paraId="5379A62B" w14:textId="5790D43D" w:rsidR="00CA2D25" w:rsidRPr="00CA2D25" w:rsidRDefault="002732FA">
      <w:pPr>
        <w:pStyle w:val="Titolo2"/>
        <w:spacing w:line="576" w:lineRule="auto"/>
        <w:ind w:right="1317"/>
        <w:rPr>
          <w:rFonts w:asciiTheme="majorHAnsi" w:hAnsiTheme="majorHAnsi"/>
        </w:rPr>
      </w:pPr>
      <w:r w:rsidRPr="00CA2D25">
        <w:rPr>
          <w:rFonts w:asciiTheme="majorHAnsi" w:hAnsiTheme="majorHAnsi"/>
        </w:rPr>
        <w:t xml:space="preserve">Decreto Direttoriale Rep. </w:t>
      </w:r>
      <w:r w:rsidR="00CA2D25" w:rsidRPr="00CA2D25">
        <w:rPr>
          <w:rFonts w:asciiTheme="majorHAnsi" w:hAnsiTheme="majorHAnsi"/>
        </w:rPr>
        <w:t xml:space="preserve">         </w:t>
      </w:r>
      <w:r w:rsidR="00597647">
        <w:rPr>
          <w:rFonts w:asciiTheme="majorHAnsi" w:hAnsiTheme="majorHAnsi"/>
        </w:rPr>
        <w:t xml:space="preserve">       </w:t>
      </w:r>
      <w:r w:rsidR="00CA2D25" w:rsidRPr="00CA2D25">
        <w:rPr>
          <w:rFonts w:asciiTheme="majorHAnsi" w:hAnsiTheme="majorHAnsi"/>
        </w:rPr>
        <w:t xml:space="preserve">      </w:t>
      </w:r>
      <w:r w:rsidRPr="00CA2D25">
        <w:rPr>
          <w:rFonts w:asciiTheme="majorHAnsi" w:hAnsiTheme="majorHAnsi"/>
        </w:rPr>
        <w:t xml:space="preserve">Prot. n. </w:t>
      </w:r>
      <w:r w:rsidR="00CA2D25" w:rsidRPr="00CA2D25">
        <w:rPr>
          <w:rFonts w:asciiTheme="majorHAnsi" w:hAnsiTheme="majorHAnsi"/>
        </w:rPr>
        <w:t xml:space="preserve">             </w:t>
      </w:r>
      <w:r w:rsidR="00597647">
        <w:rPr>
          <w:rFonts w:asciiTheme="majorHAnsi" w:hAnsiTheme="majorHAnsi"/>
        </w:rPr>
        <w:t xml:space="preserve">        </w:t>
      </w:r>
      <w:r w:rsidR="00CA2D25" w:rsidRPr="00CA2D25">
        <w:rPr>
          <w:rFonts w:asciiTheme="majorHAnsi" w:hAnsiTheme="majorHAnsi"/>
        </w:rPr>
        <w:t xml:space="preserve">  </w:t>
      </w:r>
      <w:r w:rsidRPr="00CA2D25">
        <w:rPr>
          <w:rFonts w:asciiTheme="majorHAnsi" w:hAnsiTheme="majorHAnsi"/>
        </w:rPr>
        <w:t xml:space="preserve">del </w:t>
      </w:r>
    </w:p>
    <w:p w14:paraId="5FF67D09" w14:textId="74DE7208" w:rsidR="00D3127B" w:rsidRPr="00D622FA" w:rsidRDefault="002732FA" w:rsidP="00D622FA">
      <w:pPr>
        <w:pStyle w:val="Titolo2"/>
        <w:spacing w:line="576" w:lineRule="auto"/>
        <w:ind w:right="1317"/>
        <w:rPr>
          <w:rFonts w:asciiTheme="majorHAnsi" w:hAnsiTheme="majorHAnsi"/>
        </w:rPr>
      </w:pPr>
      <w:r w:rsidRPr="00CA2D25">
        <w:rPr>
          <w:rFonts w:asciiTheme="majorHAnsi" w:hAnsiTheme="majorHAnsi"/>
        </w:rPr>
        <w:t xml:space="preserve">Responsabile </w:t>
      </w:r>
      <w:r w:rsidR="00CA2D25" w:rsidRPr="00CA2D25">
        <w:rPr>
          <w:rFonts w:asciiTheme="majorHAnsi" w:hAnsiTheme="majorHAnsi"/>
        </w:rPr>
        <w:t>Unico del Progetto</w:t>
      </w:r>
      <w:r w:rsidRPr="00CA2D25">
        <w:rPr>
          <w:rFonts w:asciiTheme="majorHAnsi" w:hAnsiTheme="majorHAnsi"/>
        </w:rPr>
        <w:t xml:space="preserve">: </w:t>
      </w:r>
      <w:bookmarkStart w:id="0" w:name="TIPOLOGIA_DI_COMMISSIONE_DI_PREQUALIFICA"/>
      <w:bookmarkStart w:id="1" w:name="⁭_____Aperta"/>
      <w:bookmarkEnd w:id="0"/>
      <w:bookmarkEnd w:id="1"/>
    </w:p>
    <w:p w14:paraId="0E27AF5E" w14:textId="04368E3E" w:rsidR="00D3127B" w:rsidRPr="00856784" w:rsidRDefault="002732FA">
      <w:pPr>
        <w:pStyle w:val="Corpotesto"/>
        <w:spacing w:before="196" w:line="288" w:lineRule="auto"/>
        <w:ind w:left="2234" w:right="113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856784">
        <w:rPr>
          <w:rFonts w:asciiTheme="majorHAnsi" w:hAnsiTheme="majorHAnsi"/>
          <w:b w:val="0"/>
          <w:bCs w:val="0"/>
          <w:sz w:val="22"/>
          <w:szCs w:val="22"/>
        </w:rPr>
        <w:t>I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nominativi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dei</w:t>
      </w:r>
      <w:r w:rsidRPr="00856784">
        <w:rPr>
          <w:rFonts w:asciiTheme="majorHAnsi" w:hAnsiTheme="majorHAnsi"/>
          <w:b w:val="0"/>
          <w:bCs w:val="0"/>
          <w:spacing w:val="-7"/>
          <w:sz w:val="22"/>
          <w:szCs w:val="22"/>
        </w:rPr>
        <w:t xml:space="preserve"> </w:t>
      </w:r>
      <w:r w:rsidR="00CA2D25" w:rsidRPr="00856784">
        <w:rPr>
          <w:rFonts w:asciiTheme="majorHAnsi" w:hAnsiTheme="majorHAnsi"/>
          <w:b w:val="0"/>
          <w:bCs w:val="0"/>
          <w:sz w:val="22"/>
          <w:szCs w:val="22"/>
        </w:rPr>
        <w:t>componenti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della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commissione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verranno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estratti</w:t>
      </w:r>
      <w:r w:rsidRPr="00856784">
        <w:rPr>
          <w:rFonts w:asciiTheme="majorHAnsi" w:hAnsiTheme="majorHAnsi"/>
          <w:b w:val="0"/>
          <w:bCs w:val="0"/>
          <w:spacing w:val="-9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a</w:t>
      </w:r>
      <w:r w:rsidRPr="00856784">
        <w:rPr>
          <w:rFonts w:asciiTheme="majorHAnsi" w:hAnsiTheme="majorHAnsi"/>
          <w:b w:val="0"/>
          <w:bCs w:val="0"/>
          <w:spacing w:val="-8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sorte,</w:t>
      </w:r>
      <w:r w:rsidRPr="00856784">
        <w:rPr>
          <w:rFonts w:asciiTheme="majorHAnsi" w:hAnsiTheme="majorHAnsi"/>
          <w:b w:val="0"/>
          <w:bCs w:val="0"/>
          <w:spacing w:val="-8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>come</w:t>
      </w:r>
      <w:r w:rsidRPr="00856784">
        <w:rPr>
          <w:rFonts w:asciiTheme="majorHAnsi" w:hAnsiTheme="majorHAnsi"/>
          <w:b w:val="0"/>
          <w:bCs w:val="0"/>
          <w:spacing w:val="-6"/>
          <w:sz w:val="22"/>
          <w:szCs w:val="22"/>
        </w:rPr>
        <w:t xml:space="preserve"> </w:t>
      </w:r>
      <w:r w:rsidRPr="00856784">
        <w:rPr>
          <w:rFonts w:asciiTheme="majorHAnsi" w:hAnsiTheme="majorHAnsi"/>
          <w:b w:val="0"/>
          <w:bCs w:val="0"/>
          <w:sz w:val="22"/>
          <w:szCs w:val="22"/>
        </w:rPr>
        <w:t xml:space="preserve">definito dal </w:t>
      </w:r>
      <w:r w:rsidR="00CA2D25" w:rsidRPr="00856784">
        <w:rPr>
          <w:rFonts w:asciiTheme="majorHAnsi" w:hAnsiTheme="majorHAnsi"/>
          <w:b w:val="0"/>
          <w:bCs w:val="0"/>
          <w:sz w:val="22"/>
          <w:szCs w:val="22"/>
        </w:rPr>
        <w:t>Regolamento per la definizione dei criteri e delle modalità di nomina delle Commissioni giudicatrici per l’assegnazione di contratti di appalto e concessione nonché di provvedimenti attributivi di vantaggi economici del Politecnico di Milano vigente</w:t>
      </w:r>
      <w:r w:rsidR="00E62993">
        <w:rPr>
          <w:rFonts w:asciiTheme="majorHAnsi" w:hAnsiTheme="majorHAnsi"/>
          <w:b w:val="0"/>
          <w:bCs w:val="0"/>
          <w:sz w:val="22"/>
          <w:szCs w:val="22"/>
        </w:rPr>
        <w:t>.</w:t>
      </w:r>
    </w:p>
    <w:p w14:paraId="237F6E9C" w14:textId="77777777" w:rsidR="00D3127B" w:rsidRPr="00CA2D25" w:rsidRDefault="00D3127B">
      <w:pPr>
        <w:pStyle w:val="Corpotesto"/>
        <w:spacing w:before="5"/>
        <w:rPr>
          <w:rFonts w:asciiTheme="majorHAnsi" w:hAnsiTheme="majorHAnsi"/>
          <w:sz w:val="22"/>
          <w:szCs w:val="22"/>
        </w:rPr>
      </w:pPr>
    </w:p>
    <w:p w14:paraId="6AC318C2" w14:textId="19EC247E" w:rsidR="00D3127B" w:rsidRPr="00856784" w:rsidRDefault="002732FA">
      <w:pPr>
        <w:pStyle w:val="Titolo1"/>
        <w:rPr>
          <w:rFonts w:asciiTheme="majorHAnsi" w:hAnsiTheme="majorHAnsi"/>
          <w:b w:val="0"/>
          <w:bCs w:val="0"/>
        </w:rPr>
      </w:pPr>
      <w:r w:rsidRPr="00856784">
        <w:rPr>
          <w:rFonts w:asciiTheme="majorHAnsi" w:hAnsiTheme="majorHAnsi"/>
          <w:b w:val="0"/>
          <w:bCs w:val="0"/>
        </w:rPr>
        <w:t>Il RUP</w:t>
      </w:r>
      <w:r w:rsidRPr="00E62993">
        <w:rPr>
          <w:rFonts w:asciiTheme="majorHAnsi" w:hAnsiTheme="majorHAnsi"/>
          <w:b w:val="0"/>
          <w:bCs w:val="0"/>
        </w:rPr>
        <w:t xml:space="preserve"> </w:t>
      </w:r>
      <w:r w:rsidR="00E62993" w:rsidRPr="00E62993">
        <w:rPr>
          <w:rFonts w:asciiTheme="majorHAnsi" w:hAnsiTheme="majorHAnsi"/>
          <w:b w:val="0"/>
          <w:bCs w:val="0"/>
        </w:rPr>
        <w:t>designa</w:t>
      </w:r>
      <w:r w:rsidRPr="00E62993">
        <w:rPr>
          <w:rFonts w:asciiTheme="majorHAnsi" w:hAnsiTheme="majorHAnsi"/>
          <w:b w:val="0"/>
          <w:bCs w:val="0"/>
        </w:rPr>
        <w:t xml:space="preserve"> </w:t>
      </w:r>
      <w:r w:rsidRPr="00856784">
        <w:rPr>
          <w:rFonts w:asciiTheme="majorHAnsi" w:hAnsiTheme="majorHAnsi"/>
          <w:b w:val="0"/>
          <w:bCs w:val="0"/>
        </w:rPr>
        <w:t xml:space="preserve">come segretario verbalizzante: </w:t>
      </w:r>
    </w:p>
    <w:p w14:paraId="77723B63" w14:textId="2C5FC98D" w:rsidR="00D3127B" w:rsidRPr="00CA2D25" w:rsidRDefault="002732FA">
      <w:pPr>
        <w:spacing w:before="172"/>
        <w:ind w:left="2234"/>
        <w:rPr>
          <w:rFonts w:asciiTheme="majorHAnsi" w:hAnsiTheme="majorHAnsi"/>
        </w:rPr>
      </w:pPr>
      <w:r w:rsidRPr="00CA2D25">
        <w:rPr>
          <w:rFonts w:asciiTheme="majorHAnsi" w:hAnsiTheme="majorHAnsi"/>
        </w:rPr>
        <w:t>Data di scadenza per la ricezione delle offerte:</w:t>
      </w:r>
      <w:r w:rsidR="00CA2D25">
        <w:rPr>
          <w:rFonts w:asciiTheme="majorHAnsi" w:hAnsiTheme="majorHAnsi"/>
        </w:rPr>
        <w:t xml:space="preserve">                        </w:t>
      </w:r>
      <w:r w:rsidRPr="00CA2D25">
        <w:rPr>
          <w:rFonts w:asciiTheme="majorHAnsi" w:hAnsiTheme="majorHAnsi"/>
        </w:rPr>
        <w:t>ore</w:t>
      </w:r>
      <w:r>
        <w:rPr>
          <w:rFonts w:asciiTheme="majorHAnsi" w:hAnsiTheme="majorHAnsi"/>
        </w:rPr>
        <w:t>:</w:t>
      </w:r>
    </w:p>
    <w:p w14:paraId="745D35E1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36E8EEC0" w14:textId="77777777" w:rsidR="00D3127B" w:rsidRPr="00CA2D25" w:rsidRDefault="00D3127B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211C18E3" w14:textId="77777777" w:rsidR="00D3127B" w:rsidRPr="00CA2D25" w:rsidRDefault="002732FA">
      <w:pPr>
        <w:ind w:right="1896"/>
        <w:jc w:val="right"/>
        <w:rPr>
          <w:rFonts w:asciiTheme="majorHAnsi" w:hAnsiTheme="majorHAnsi"/>
        </w:rPr>
      </w:pPr>
      <w:r w:rsidRPr="00CA2D25">
        <w:rPr>
          <w:rFonts w:asciiTheme="majorHAnsi" w:hAnsiTheme="majorHAnsi"/>
        </w:rPr>
        <w:t>Il RUP</w:t>
      </w:r>
    </w:p>
    <w:p w14:paraId="24B56FF2" w14:textId="0DB23915" w:rsid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09449EF8" w14:textId="28933662" w:rsid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329A2079" w14:textId="77777777" w:rsid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57D1262C" w14:textId="77777777" w:rsidR="00CA2D25" w:rsidRPr="00CA2D25" w:rsidRDefault="00CA2D25">
      <w:pPr>
        <w:pStyle w:val="Corpotesto"/>
        <w:rPr>
          <w:rFonts w:asciiTheme="majorHAnsi" w:hAnsiTheme="majorHAnsi"/>
          <w:b w:val="0"/>
          <w:sz w:val="22"/>
          <w:szCs w:val="22"/>
        </w:rPr>
      </w:pPr>
    </w:p>
    <w:p w14:paraId="6C1FDAC9" w14:textId="77777777" w:rsidR="00D3127B" w:rsidRPr="00CA2D25" w:rsidRDefault="00D3127B">
      <w:pPr>
        <w:rPr>
          <w:rFonts w:asciiTheme="majorHAnsi" w:hAnsiTheme="majorHAnsi"/>
        </w:rPr>
        <w:sectPr w:rsidR="00D3127B" w:rsidRPr="00CA2D25">
          <w:type w:val="continuous"/>
          <w:pgSz w:w="11910" w:h="16840"/>
          <w:pgMar w:top="860" w:right="1020" w:bottom="280" w:left="600" w:header="720" w:footer="720" w:gutter="0"/>
          <w:cols w:space="720"/>
        </w:sectPr>
      </w:pPr>
    </w:p>
    <w:p w14:paraId="1D194469" w14:textId="77777777" w:rsidR="00D3127B" w:rsidRPr="00CA2D25" w:rsidRDefault="00D3127B">
      <w:pPr>
        <w:pStyle w:val="Corpotesto"/>
        <w:spacing w:before="9"/>
        <w:rPr>
          <w:rFonts w:asciiTheme="majorHAnsi" w:hAnsiTheme="majorHAnsi"/>
          <w:b w:val="0"/>
          <w:sz w:val="22"/>
          <w:szCs w:val="22"/>
        </w:rPr>
      </w:pPr>
    </w:p>
    <w:p w14:paraId="6D623F7E" w14:textId="77777777" w:rsidR="00D3127B" w:rsidRPr="00CA2D25" w:rsidRDefault="002732FA">
      <w:pPr>
        <w:ind w:left="2342" w:right="-17"/>
        <w:rPr>
          <w:rFonts w:asciiTheme="majorHAnsi" w:hAnsiTheme="majorHAnsi"/>
          <w:b/>
          <w:sz w:val="18"/>
          <w:szCs w:val="18"/>
        </w:rPr>
      </w:pPr>
      <w:r w:rsidRPr="00CA2D25">
        <w:rPr>
          <w:rFonts w:asciiTheme="majorHAnsi" w:hAnsiTheme="majorHAnsi"/>
          <w:b/>
          <w:sz w:val="18"/>
          <w:szCs w:val="18"/>
        </w:rPr>
        <w:t>Area Gestione Infrastrutture e Servizi</w:t>
      </w:r>
    </w:p>
    <w:p w14:paraId="6D2AAC52" w14:textId="77777777" w:rsidR="00D3127B" w:rsidRPr="00CA2D25" w:rsidRDefault="002732FA">
      <w:pPr>
        <w:ind w:left="2342" w:right="34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Piazza Leonardo da Vinci, 32 20133 Milano</w:t>
      </w:r>
    </w:p>
    <w:p w14:paraId="1921C731" w14:textId="77777777" w:rsidR="00D3127B" w:rsidRPr="00CA2D25" w:rsidRDefault="002732FA">
      <w:pPr>
        <w:pStyle w:val="Corpotesto"/>
        <w:rPr>
          <w:rFonts w:asciiTheme="majorHAnsi" w:hAnsiTheme="majorHAnsi"/>
          <w:b w:val="0"/>
          <w:sz w:val="18"/>
          <w:szCs w:val="18"/>
        </w:rPr>
      </w:pPr>
      <w:r w:rsidRPr="00CA2D25">
        <w:rPr>
          <w:rFonts w:asciiTheme="majorHAnsi" w:hAnsiTheme="majorHAnsi"/>
          <w:b w:val="0"/>
          <w:sz w:val="18"/>
          <w:szCs w:val="18"/>
        </w:rPr>
        <w:br w:type="column"/>
      </w:r>
    </w:p>
    <w:p w14:paraId="3FE370F4" w14:textId="77777777" w:rsidR="00D3127B" w:rsidRPr="00CA2D25" w:rsidRDefault="002732FA">
      <w:pPr>
        <w:spacing w:before="143"/>
        <w:ind w:left="766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Tel. 02 2399 02 2399 5404/5406</w:t>
      </w:r>
    </w:p>
    <w:p w14:paraId="1371056E" w14:textId="77777777" w:rsidR="00D3127B" w:rsidRPr="00CA2D25" w:rsidRDefault="002732FA">
      <w:pPr>
        <w:ind w:left="766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Fax 02 2399</w:t>
      </w:r>
    </w:p>
    <w:p w14:paraId="71E9F6B1" w14:textId="77777777" w:rsidR="00D3127B" w:rsidRPr="00CA2D25" w:rsidRDefault="00B04742">
      <w:pPr>
        <w:spacing w:before="1"/>
        <w:ind w:left="766"/>
        <w:rPr>
          <w:rFonts w:asciiTheme="majorHAnsi" w:hAnsiTheme="majorHAnsi"/>
          <w:sz w:val="18"/>
          <w:szCs w:val="18"/>
        </w:rPr>
      </w:pPr>
      <w:hyperlink r:id="rId6">
        <w:r w:rsidR="002732FA" w:rsidRPr="00CA2D25">
          <w:rPr>
            <w:rFonts w:asciiTheme="majorHAnsi" w:hAnsiTheme="majorHAnsi"/>
            <w:sz w:val="18"/>
            <w:szCs w:val="18"/>
          </w:rPr>
          <w:t>www.polimi.it</w:t>
        </w:r>
      </w:hyperlink>
    </w:p>
    <w:p w14:paraId="37A9EB2C" w14:textId="77777777" w:rsidR="00D3127B" w:rsidRPr="00CA2D25" w:rsidRDefault="002732FA">
      <w:pPr>
        <w:pStyle w:val="Corpotesto"/>
        <w:spacing w:before="3"/>
        <w:rPr>
          <w:rFonts w:asciiTheme="majorHAnsi" w:hAnsiTheme="majorHAnsi"/>
          <w:b w:val="0"/>
          <w:sz w:val="22"/>
          <w:szCs w:val="22"/>
        </w:rPr>
      </w:pPr>
      <w:r w:rsidRPr="00CA2D25">
        <w:rPr>
          <w:rFonts w:asciiTheme="majorHAnsi" w:hAnsiTheme="majorHAnsi"/>
          <w:b w:val="0"/>
          <w:sz w:val="22"/>
          <w:szCs w:val="22"/>
        </w:rPr>
        <w:br w:type="column"/>
      </w:r>
    </w:p>
    <w:p w14:paraId="0CAFCF07" w14:textId="77777777" w:rsidR="00D3127B" w:rsidRPr="00CA2D25" w:rsidRDefault="002732FA">
      <w:pPr>
        <w:spacing w:before="1"/>
        <w:ind w:left="411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Partita Iva 04376620151</w:t>
      </w:r>
    </w:p>
    <w:p w14:paraId="4FA6036D" w14:textId="77777777" w:rsidR="00D3127B" w:rsidRPr="00CA2D25" w:rsidRDefault="002732FA">
      <w:pPr>
        <w:ind w:left="411"/>
        <w:rPr>
          <w:rFonts w:asciiTheme="majorHAnsi" w:hAnsiTheme="majorHAnsi"/>
          <w:sz w:val="18"/>
          <w:szCs w:val="18"/>
        </w:rPr>
      </w:pPr>
      <w:r w:rsidRPr="00CA2D25">
        <w:rPr>
          <w:rFonts w:asciiTheme="majorHAnsi" w:hAnsiTheme="majorHAnsi"/>
          <w:sz w:val="18"/>
          <w:szCs w:val="18"/>
        </w:rPr>
        <w:t>Codice Fiscale 80057930150</w:t>
      </w:r>
    </w:p>
    <w:sectPr w:rsidR="00D3127B" w:rsidRPr="00CA2D25">
      <w:type w:val="continuous"/>
      <w:pgSz w:w="11910" w:h="16840"/>
      <w:pgMar w:top="860" w:right="1020" w:bottom="280" w:left="600" w:header="720" w:footer="720" w:gutter="0"/>
      <w:cols w:num="3" w:space="720" w:equalWidth="0">
        <w:col w:w="4438" w:space="40"/>
        <w:col w:w="3220" w:space="39"/>
        <w:col w:w="25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47CE"/>
    <w:multiLevelType w:val="hybridMultilevel"/>
    <w:tmpl w:val="DED42286"/>
    <w:lvl w:ilvl="0" w:tplc="E1702DE6">
      <w:numFmt w:val="bullet"/>
      <w:lvlText w:val="□"/>
      <w:lvlJc w:val="left"/>
      <w:pPr>
        <w:ind w:left="2999" w:hanging="406"/>
      </w:pPr>
      <w:rPr>
        <w:rFonts w:ascii="Times New Roman" w:eastAsia="Times New Roman" w:hAnsi="Times New Roman" w:cs="Times New Roman" w:hint="default"/>
        <w:w w:val="124"/>
        <w:sz w:val="22"/>
        <w:szCs w:val="22"/>
        <w:lang w:val="it-IT" w:eastAsia="it-IT" w:bidi="it-IT"/>
      </w:rPr>
    </w:lvl>
    <w:lvl w:ilvl="1" w:tplc="4D1828F6">
      <w:numFmt w:val="bullet"/>
      <w:lvlText w:val="•"/>
      <w:lvlJc w:val="left"/>
      <w:pPr>
        <w:ind w:left="3728" w:hanging="406"/>
      </w:pPr>
      <w:rPr>
        <w:rFonts w:hint="default"/>
        <w:lang w:val="it-IT" w:eastAsia="it-IT" w:bidi="it-IT"/>
      </w:rPr>
    </w:lvl>
    <w:lvl w:ilvl="2" w:tplc="DCF684DA">
      <w:numFmt w:val="bullet"/>
      <w:lvlText w:val="•"/>
      <w:lvlJc w:val="left"/>
      <w:pPr>
        <w:ind w:left="4457" w:hanging="406"/>
      </w:pPr>
      <w:rPr>
        <w:rFonts w:hint="default"/>
        <w:lang w:val="it-IT" w:eastAsia="it-IT" w:bidi="it-IT"/>
      </w:rPr>
    </w:lvl>
    <w:lvl w:ilvl="3" w:tplc="3C5E51E0">
      <w:numFmt w:val="bullet"/>
      <w:lvlText w:val="•"/>
      <w:lvlJc w:val="left"/>
      <w:pPr>
        <w:ind w:left="5185" w:hanging="406"/>
      </w:pPr>
      <w:rPr>
        <w:rFonts w:hint="default"/>
        <w:lang w:val="it-IT" w:eastAsia="it-IT" w:bidi="it-IT"/>
      </w:rPr>
    </w:lvl>
    <w:lvl w:ilvl="4" w:tplc="6ECE3016">
      <w:numFmt w:val="bullet"/>
      <w:lvlText w:val="•"/>
      <w:lvlJc w:val="left"/>
      <w:pPr>
        <w:ind w:left="5914" w:hanging="406"/>
      </w:pPr>
      <w:rPr>
        <w:rFonts w:hint="default"/>
        <w:lang w:val="it-IT" w:eastAsia="it-IT" w:bidi="it-IT"/>
      </w:rPr>
    </w:lvl>
    <w:lvl w:ilvl="5" w:tplc="2B54BF6E">
      <w:numFmt w:val="bullet"/>
      <w:lvlText w:val="•"/>
      <w:lvlJc w:val="left"/>
      <w:pPr>
        <w:ind w:left="6643" w:hanging="406"/>
      </w:pPr>
      <w:rPr>
        <w:rFonts w:hint="default"/>
        <w:lang w:val="it-IT" w:eastAsia="it-IT" w:bidi="it-IT"/>
      </w:rPr>
    </w:lvl>
    <w:lvl w:ilvl="6" w:tplc="685ABECC">
      <w:numFmt w:val="bullet"/>
      <w:lvlText w:val="•"/>
      <w:lvlJc w:val="left"/>
      <w:pPr>
        <w:ind w:left="7371" w:hanging="406"/>
      </w:pPr>
      <w:rPr>
        <w:rFonts w:hint="default"/>
        <w:lang w:val="it-IT" w:eastAsia="it-IT" w:bidi="it-IT"/>
      </w:rPr>
    </w:lvl>
    <w:lvl w:ilvl="7" w:tplc="1AB4B120">
      <w:numFmt w:val="bullet"/>
      <w:lvlText w:val="•"/>
      <w:lvlJc w:val="left"/>
      <w:pPr>
        <w:ind w:left="8100" w:hanging="406"/>
      </w:pPr>
      <w:rPr>
        <w:rFonts w:hint="default"/>
        <w:lang w:val="it-IT" w:eastAsia="it-IT" w:bidi="it-IT"/>
      </w:rPr>
    </w:lvl>
    <w:lvl w:ilvl="8" w:tplc="C4F0C9C4">
      <w:numFmt w:val="bullet"/>
      <w:lvlText w:val="•"/>
      <w:lvlJc w:val="left"/>
      <w:pPr>
        <w:ind w:left="8829" w:hanging="4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7B"/>
    <w:rsid w:val="000B0047"/>
    <w:rsid w:val="002732FA"/>
    <w:rsid w:val="00575D96"/>
    <w:rsid w:val="00597647"/>
    <w:rsid w:val="00856784"/>
    <w:rsid w:val="00B04742"/>
    <w:rsid w:val="00CA2D25"/>
    <w:rsid w:val="00D3127B"/>
    <w:rsid w:val="00D622FA"/>
    <w:rsid w:val="00E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F696"/>
  <w15:docId w15:val="{EC29B41D-2992-4426-A8A9-A06844C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234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23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2999" w:hanging="4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m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Rosalinda Saporito</dc:creator>
  <cp:lastModifiedBy>Silvia Forlani</cp:lastModifiedBy>
  <cp:revision>9</cp:revision>
  <dcterms:created xsi:type="dcterms:W3CDTF">2024-02-19T10:01:00Z</dcterms:created>
  <dcterms:modified xsi:type="dcterms:W3CDTF">2024-03-18T14:42:00Z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2024-02-19T00:00:00Z</vt:filetime>
  </property>
</Properties>
</file>