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578D5" w14:textId="75555259" w:rsidR="008C1BCD" w:rsidRPr="003631BD" w:rsidRDefault="008C1BCD" w:rsidP="008C1BCD">
      <w:pPr>
        <w:pStyle w:val="NormaleWeb"/>
        <w:shd w:val="clear" w:color="auto" w:fill="FFFFFF"/>
        <w:spacing w:line="360" w:lineRule="auto"/>
        <w:jc w:val="both"/>
        <w:textAlignment w:val="baseline"/>
        <w:rPr>
          <w:rFonts w:ascii="Manrope" w:hAnsi="Manrope" w:cs="Minion Pro"/>
          <w:sz w:val="20"/>
          <w:szCs w:val="20"/>
        </w:rPr>
      </w:pPr>
    </w:p>
    <w:p w14:paraId="7CBE0DF7" w14:textId="6083464E" w:rsidR="00DA02DE" w:rsidRPr="003207EE" w:rsidRDefault="00C37142" w:rsidP="00DA02DE">
      <w:pPr>
        <w:jc w:val="center"/>
        <w:rPr>
          <w:rFonts w:ascii="Manrope" w:hAnsi="Manrope"/>
          <w:bCs/>
          <w:sz w:val="20"/>
          <w:szCs w:val="20"/>
        </w:rPr>
      </w:pPr>
      <w:r>
        <w:rPr>
          <w:rFonts w:ascii="Manrope" w:hAnsi="Manrope"/>
          <w:b/>
          <w:sz w:val="22"/>
          <w:szCs w:val="22"/>
        </w:rPr>
        <w:tab/>
      </w:r>
      <w:r>
        <w:rPr>
          <w:rFonts w:ascii="Manrope" w:hAnsi="Manrope"/>
          <w:b/>
          <w:sz w:val="22"/>
          <w:szCs w:val="22"/>
        </w:rPr>
        <w:tab/>
      </w:r>
      <w:r>
        <w:rPr>
          <w:rFonts w:ascii="Manrope" w:hAnsi="Manrope"/>
          <w:b/>
          <w:sz w:val="22"/>
          <w:szCs w:val="22"/>
        </w:rPr>
        <w:tab/>
      </w:r>
      <w:r w:rsidR="00DA02DE">
        <w:rPr>
          <w:rFonts w:ascii="Manrope" w:hAnsi="Manrope"/>
          <w:b/>
          <w:sz w:val="22"/>
          <w:szCs w:val="22"/>
        </w:rPr>
        <w:tab/>
      </w:r>
      <w:r w:rsidR="00DA02DE">
        <w:rPr>
          <w:rFonts w:ascii="Manrope" w:hAnsi="Manrope"/>
          <w:b/>
          <w:sz w:val="22"/>
          <w:szCs w:val="22"/>
        </w:rPr>
        <w:tab/>
      </w:r>
      <w:r w:rsidR="00DA02DE">
        <w:rPr>
          <w:rFonts w:ascii="Manrope" w:hAnsi="Manrope"/>
          <w:b/>
          <w:sz w:val="22"/>
          <w:szCs w:val="22"/>
        </w:rPr>
        <w:tab/>
      </w:r>
      <w:r w:rsidR="00DA02DE">
        <w:rPr>
          <w:rFonts w:ascii="Manrope" w:hAnsi="Manrope"/>
          <w:b/>
          <w:sz w:val="22"/>
          <w:szCs w:val="22"/>
        </w:rPr>
        <w:tab/>
      </w:r>
      <w:r w:rsidR="00DA02DE">
        <w:rPr>
          <w:rFonts w:ascii="Manrope" w:hAnsi="Manrope"/>
          <w:b/>
          <w:sz w:val="22"/>
          <w:szCs w:val="22"/>
        </w:rPr>
        <w:tab/>
      </w:r>
      <w:r w:rsidR="00DA02DE">
        <w:rPr>
          <w:rFonts w:ascii="Manrope" w:hAnsi="Manrope"/>
          <w:b/>
          <w:sz w:val="22"/>
          <w:szCs w:val="22"/>
        </w:rPr>
        <w:tab/>
      </w:r>
      <w:r w:rsidR="00DA02DE">
        <w:rPr>
          <w:rFonts w:ascii="Manrope" w:hAnsi="Manrope"/>
          <w:b/>
          <w:sz w:val="22"/>
          <w:szCs w:val="22"/>
        </w:rPr>
        <w:tab/>
      </w:r>
      <w:r w:rsidR="00DA02DE" w:rsidRPr="003207EE">
        <w:rPr>
          <w:rFonts w:ascii="Manrope" w:hAnsi="Manrope"/>
          <w:bCs/>
          <w:sz w:val="20"/>
          <w:szCs w:val="20"/>
        </w:rPr>
        <w:t xml:space="preserve">Milano, </w:t>
      </w:r>
      <w:sdt>
        <w:sdtPr>
          <w:rPr>
            <w:rFonts w:ascii="Manrope" w:hAnsi="Manrope"/>
            <w:bCs/>
            <w:sz w:val="20"/>
            <w:szCs w:val="20"/>
          </w:rPr>
          <w:id w:val="-1276938903"/>
          <w:placeholder>
            <w:docPart w:val="F96A603D279C40A4926E3D80E897EE91"/>
          </w:placeholder>
          <w:date w:fullDate="2023-09-20T00:00:00Z">
            <w:dateFormat w:val="dd/MM/yyyy"/>
            <w:lid w:val="it-IT"/>
            <w:storeMappedDataAs w:val="dateTime"/>
            <w:calendar w:val="gregorian"/>
          </w:date>
        </w:sdtPr>
        <w:sdtEndPr/>
        <w:sdtContent>
          <w:r w:rsidR="00DA02DE" w:rsidRPr="00CB7670">
            <w:rPr>
              <w:rFonts w:ascii="Manrope" w:hAnsi="Manrope"/>
              <w:bCs/>
              <w:sz w:val="20"/>
              <w:szCs w:val="20"/>
            </w:rPr>
            <w:t>20/09/2023</w:t>
          </w:r>
        </w:sdtContent>
      </w:sdt>
    </w:p>
    <w:p w14:paraId="11EDAF53" w14:textId="77777777" w:rsidR="004F36FD" w:rsidRDefault="004F36FD" w:rsidP="008C1BCD">
      <w:pPr>
        <w:pStyle w:val="NormaleWeb"/>
        <w:shd w:val="clear" w:color="auto" w:fill="FFFFFF"/>
        <w:spacing w:line="360" w:lineRule="auto"/>
        <w:jc w:val="both"/>
        <w:textAlignment w:val="baseline"/>
        <w:rPr>
          <w:rFonts w:ascii="Manrope" w:hAnsi="Manrope"/>
          <w:b/>
          <w:sz w:val="20"/>
          <w:szCs w:val="20"/>
        </w:rPr>
      </w:pPr>
    </w:p>
    <w:p w14:paraId="3DB5B140" w14:textId="6E9B3E16" w:rsidR="008C1BCD" w:rsidRPr="00CB7670" w:rsidRDefault="00DA02DE" w:rsidP="00C0497A">
      <w:pPr>
        <w:pStyle w:val="NormaleWeb"/>
        <w:shd w:val="clear" w:color="auto" w:fill="FFFFFF"/>
        <w:spacing w:before="400" w:beforeAutospacing="0" w:after="200" w:afterAutospacing="0" w:line="259" w:lineRule="auto"/>
        <w:jc w:val="both"/>
        <w:textAlignment w:val="baseline"/>
        <w:rPr>
          <w:rFonts w:ascii="Manrope" w:hAnsi="Manrope" w:cs="Minion Pro"/>
          <w:color w:val="102C53"/>
          <w:sz w:val="32"/>
          <w:szCs w:val="32"/>
        </w:rPr>
      </w:pPr>
      <w:r w:rsidRPr="00561526">
        <w:rPr>
          <w:rFonts w:ascii="Manrope" w:hAnsi="Manrope"/>
          <w:b/>
          <w:color w:val="102C53"/>
          <w:sz w:val="32"/>
          <w:szCs w:val="32"/>
        </w:rPr>
        <w:t xml:space="preserve">Dichiarazione di assenza di cause di incompatibilità per la nomina a </w:t>
      </w:r>
      <w:r w:rsidRPr="00CB7670">
        <w:rPr>
          <w:rFonts w:ascii="Manrope" w:hAnsi="Manrope"/>
          <w:b/>
          <w:color w:val="102C53"/>
          <w:sz w:val="32"/>
          <w:szCs w:val="32"/>
        </w:rPr>
        <w:t xml:space="preserve">PRESIDENTE/COMPONENTE/COMPONENTE ESTERNO di Gara </w:t>
      </w:r>
      <w:r w:rsidRPr="00CB7670">
        <w:rPr>
          <w:rFonts w:ascii="Manrope" w:hAnsi="Manrope"/>
          <w:b/>
          <w:i/>
          <w:color w:val="102C53"/>
          <w:sz w:val="32"/>
          <w:szCs w:val="32"/>
        </w:rPr>
        <w:t>ex art</w:t>
      </w:r>
      <w:r w:rsidRPr="00CB7670">
        <w:rPr>
          <w:rFonts w:ascii="Manrope" w:hAnsi="Manrope"/>
          <w:b/>
          <w:color w:val="102C53"/>
          <w:sz w:val="32"/>
          <w:szCs w:val="32"/>
        </w:rPr>
        <w:t>.93 D. Lgs. 31 marzo 2023, n. 36</w:t>
      </w:r>
    </w:p>
    <w:p w14:paraId="75621E72" w14:textId="3B90A922" w:rsidR="008C1BCD" w:rsidRPr="00CB7670" w:rsidRDefault="008C1BCD" w:rsidP="006B1CD4">
      <w:pPr>
        <w:pStyle w:val="NormaleWeb"/>
        <w:shd w:val="clear" w:color="auto" w:fill="FFFFFF"/>
        <w:spacing w:line="259" w:lineRule="auto"/>
        <w:jc w:val="both"/>
        <w:textAlignment w:val="baseline"/>
        <w:rPr>
          <w:rFonts w:ascii="Manrope" w:hAnsi="Manrope"/>
          <w:sz w:val="20"/>
          <w:szCs w:val="20"/>
        </w:rPr>
      </w:pPr>
      <w:r w:rsidRPr="00CB7670">
        <w:rPr>
          <w:rFonts w:ascii="Manrope" w:hAnsi="Manrope" w:cs="Minion Pro"/>
          <w:sz w:val="20"/>
          <w:szCs w:val="20"/>
        </w:rPr>
        <w:t>Il/La sottoscritto/a ………………………………………………………………………………………………………………, in relazione alla procedura</w:t>
      </w:r>
      <w:r w:rsidR="00561526" w:rsidRPr="00CB7670">
        <w:rPr>
          <w:rFonts w:ascii="Manrope" w:hAnsi="Manrope" w:cs="Minion Pro"/>
          <w:sz w:val="20"/>
          <w:szCs w:val="20"/>
        </w:rPr>
        <w:t xml:space="preserve"> </w:t>
      </w:r>
      <w:r w:rsidRPr="00CB7670">
        <w:rPr>
          <w:rFonts w:ascii="Manrope" w:hAnsi="Manrope" w:cs="Minion Pro"/>
          <w:sz w:val="20"/>
          <w:szCs w:val="20"/>
        </w:rPr>
        <w:t>………………………………………………………………………………………………………</w:t>
      </w:r>
      <w:r w:rsidRPr="00CB7670">
        <w:rPr>
          <w:rFonts w:ascii="Manrope" w:hAnsi="Manrope"/>
          <w:sz w:val="20"/>
          <w:szCs w:val="20"/>
        </w:rPr>
        <w:t xml:space="preserve"> per cui hanno presentato offerta i seguenti Operatori economici:</w:t>
      </w:r>
    </w:p>
    <w:tbl>
      <w:tblPr>
        <w:tblStyle w:val="Grigliatabella"/>
        <w:tblW w:w="0" w:type="auto"/>
        <w:jc w:val="center"/>
        <w:tblBorders>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81"/>
        <w:gridCol w:w="2223"/>
      </w:tblGrid>
      <w:tr w:rsidR="00495857" w:rsidRPr="00CB7670" w14:paraId="56FFFB3A" w14:textId="77777777" w:rsidTr="00294C71">
        <w:trPr>
          <w:trHeight w:val="483"/>
          <w:jc w:val="center"/>
        </w:trPr>
        <w:tc>
          <w:tcPr>
            <w:tcW w:w="4581" w:type="dxa"/>
            <w:tcBorders>
              <w:top w:val="nil"/>
              <w:bottom w:val="single" w:sz="12" w:space="0" w:color="auto"/>
            </w:tcBorders>
            <w:vAlign w:val="center"/>
          </w:tcPr>
          <w:p w14:paraId="6C3ABE11" w14:textId="77777777" w:rsidR="00495857" w:rsidRPr="00CB7670" w:rsidRDefault="00495857" w:rsidP="006F48BA">
            <w:pPr>
              <w:pStyle w:val="TABtestatina"/>
              <w:jc w:val="left"/>
            </w:pPr>
            <w:r w:rsidRPr="00CB7670">
              <w:t xml:space="preserve">OPERATORE ECONOMICO </w:t>
            </w:r>
          </w:p>
        </w:tc>
        <w:tc>
          <w:tcPr>
            <w:tcW w:w="2223" w:type="dxa"/>
            <w:tcBorders>
              <w:top w:val="nil"/>
              <w:bottom w:val="single" w:sz="12" w:space="0" w:color="auto"/>
            </w:tcBorders>
            <w:vAlign w:val="center"/>
          </w:tcPr>
          <w:p w14:paraId="249A857E" w14:textId="77777777" w:rsidR="00495857" w:rsidRPr="00CB7670" w:rsidRDefault="00495857" w:rsidP="006F48BA">
            <w:pPr>
              <w:pStyle w:val="TABtestatina"/>
              <w:jc w:val="left"/>
            </w:pPr>
            <w:r w:rsidRPr="00CB7670">
              <w:t>P.IVA</w:t>
            </w:r>
          </w:p>
        </w:tc>
      </w:tr>
      <w:tr w:rsidR="00495857" w:rsidRPr="00CB7670" w14:paraId="574673A0" w14:textId="77777777" w:rsidTr="00294C71">
        <w:trPr>
          <w:trHeight w:val="510"/>
          <w:jc w:val="center"/>
        </w:trPr>
        <w:tc>
          <w:tcPr>
            <w:tcW w:w="4581" w:type="dxa"/>
            <w:tcBorders>
              <w:top w:val="single" w:sz="12" w:space="0" w:color="auto"/>
            </w:tcBorders>
            <w:vAlign w:val="center"/>
          </w:tcPr>
          <w:p w14:paraId="3555D2B6" w14:textId="77777777" w:rsidR="00495857" w:rsidRPr="00CB7670" w:rsidRDefault="00495857" w:rsidP="006F48BA">
            <w:pPr>
              <w:pStyle w:val="TABbody"/>
            </w:pPr>
            <w:proofErr w:type="spellStart"/>
            <w:r w:rsidRPr="00CB7670">
              <w:t>Lorem</w:t>
            </w:r>
            <w:proofErr w:type="spellEnd"/>
            <w:r w:rsidRPr="00CB7670">
              <w:t xml:space="preserve"> </w:t>
            </w:r>
            <w:proofErr w:type="spellStart"/>
            <w:r w:rsidRPr="00CB7670">
              <w:t>ipsum</w:t>
            </w:r>
            <w:proofErr w:type="spellEnd"/>
            <w:r w:rsidRPr="00CB7670">
              <w:t xml:space="preserve"> </w:t>
            </w:r>
          </w:p>
        </w:tc>
        <w:tc>
          <w:tcPr>
            <w:tcW w:w="2223" w:type="dxa"/>
            <w:tcBorders>
              <w:top w:val="single" w:sz="12" w:space="0" w:color="auto"/>
            </w:tcBorders>
            <w:vAlign w:val="center"/>
          </w:tcPr>
          <w:p w14:paraId="38816683" w14:textId="77777777" w:rsidR="00495857" w:rsidRPr="00CB7670" w:rsidRDefault="00495857" w:rsidP="006F48BA">
            <w:pPr>
              <w:pStyle w:val="TABbody"/>
            </w:pPr>
            <w:r w:rsidRPr="00CB7670">
              <w:t>000</w:t>
            </w:r>
          </w:p>
        </w:tc>
      </w:tr>
      <w:tr w:rsidR="00495857" w:rsidRPr="00CB7670" w14:paraId="53D6AFBE" w14:textId="77777777" w:rsidTr="006F48BA">
        <w:trPr>
          <w:trHeight w:val="510"/>
          <w:jc w:val="center"/>
        </w:trPr>
        <w:tc>
          <w:tcPr>
            <w:tcW w:w="4581" w:type="dxa"/>
            <w:vAlign w:val="center"/>
          </w:tcPr>
          <w:p w14:paraId="44CE9844" w14:textId="77777777" w:rsidR="00495857" w:rsidRPr="00CB7670" w:rsidRDefault="00495857" w:rsidP="006F48BA">
            <w:pPr>
              <w:pStyle w:val="TABbody"/>
            </w:pPr>
            <w:proofErr w:type="spellStart"/>
            <w:r w:rsidRPr="00CB7670">
              <w:t>Lorem</w:t>
            </w:r>
            <w:proofErr w:type="spellEnd"/>
            <w:r w:rsidRPr="00CB7670">
              <w:t xml:space="preserve"> </w:t>
            </w:r>
            <w:proofErr w:type="spellStart"/>
            <w:r w:rsidRPr="00CB7670">
              <w:t>ipsum</w:t>
            </w:r>
            <w:proofErr w:type="spellEnd"/>
            <w:r w:rsidRPr="00CB7670">
              <w:t xml:space="preserve"> </w:t>
            </w:r>
          </w:p>
        </w:tc>
        <w:tc>
          <w:tcPr>
            <w:tcW w:w="2223" w:type="dxa"/>
            <w:vAlign w:val="center"/>
          </w:tcPr>
          <w:p w14:paraId="44B44C0F" w14:textId="77777777" w:rsidR="00495857" w:rsidRPr="00CB7670" w:rsidRDefault="00495857" w:rsidP="006F48BA">
            <w:pPr>
              <w:pStyle w:val="TABbody"/>
            </w:pPr>
            <w:r w:rsidRPr="00CB7670">
              <w:t>000</w:t>
            </w:r>
          </w:p>
        </w:tc>
      </w:tr>
      <w:tr w:rsidR="00495857" w:rsidRPr="00CB7670" w14:paraId="26EF671E" w14:textId="77777777" w:rsidTr="006F48BA">
        <w:trPr>
          <w:trHeight w:val="510"/>
          <w:jc w:val="center"/>
        </w:trPr>
        <w:tc>
          <w:tcPr>
            <w:tcW w:w="4581" w:type="dxa"/>
            <w:tcBorders>
              <w:bottom w:val="single" w:sz="4" w:space="0" w:color="auto"/>
            </w:tcBorders>
            <w:vAlign w:val="center"/>
          </w:tcPr>
          <w:p w14:paraId="6E20F31F" w14:textId="77777777" w:rsidR="00495857" w:rsidRPr="00CB7670" w:rsidRDefault="00495857" w:rsidP="006F48BA">
            <w:pPr>
              <w:pStyle w:val="TABbody"/>
            </w:pPr>
            <w:proofErr w:type="spellStart"/>
            <w:r w:rsidRPr="00CB7670">
              <w:t>Lorem</w:t>
            </w:r>
            <w:proofErr w:type="spellEnd"/>
            <w:r w:rsidRPr="00CB7670">
              <w:t xml:space="preserve"> </w:t>
            </w:r>
            <w:proofErr w:type="spellStart"/>
            <w:r w:rsidRPr="00CB7670">
              <w:t>ipsum</w:t>
            </w:r>
            <w:proofErr w:type="spellEnd"/>
            <w:r w:rsidRPr="00CB7670">
              <w:t xml:space="preserve"> </w:t>
            </w:r>
          </w:p>
        </w:tc>
        <w:tc>
          <w:tcPr>
            <w:tcW w:w="2223" w:type="dxa"/>
            <w:tcBorders>
              <w:bottom w:val="single" w:sz="4" w:space="0" w:color="auto"/>
            </w:tcBorders>
            <w:vAlign w:val="center"/>
          </w:tcPr>
          <w:p w14:paraId="011BEA12" w14:textId="77777777" w:rsidR="00495857" w:rsidRPr="00CB7670" w:rsidRDefault="00495857" w:rsidP="006F48BA">
            <w:pPr>
              <w:pStyle w:val="TABbody"/>
            </w:pPr>
            <w:r w:rsidRPr="00CB7670">
              <w:t>000</w:t>
            </w:r>
          </w:p>
        </w:tc>
      </w:tr>
      <w:tr w:rsidR="00495857" w:rsidRPr="00CB7670" w14:paraId="678EDD6E" w14:textId="77777777" w:rsidTr="006F48BA">
        <w:trPr>
          <w:trHeight w:val="510"/>
          <w:jc w:val="center"/>
        </w:trPr>
        <w:tc>
          <w:tcPr>
            <w:tcW w:w="4581" w:type="dxa"/>
            <w:tcBorders>
              <w:bottom w:val="single" w:sz="4" w:space="0" w:color="auto"/>
            </w:tcBorders>
            <w:vAlign w:val="center"/>
          </w:tcPr>
          <w:p w14:paraId="4953B4AE" w14:textId="77777777" w:rsidR="00495857" w:rsidRPr="00CB7670" w:rsidRDefault="00495857" w:rsidP="006F48BA">
            <w:pPr>
              <w:pStyle w:val="TABbody"/>
            </w:pPr>
            <w:proofErr w:type="spellStart"/>
            <w:r w:rsidRPr="00CB7670">
              <w:t>Lorem</w:t>
            </w:r>
            <w:proofErr w:type="spellEnd"/>
            <w:r w:rsidRPr="00CB7670">
              <w:t xml:space="preserve"> </w:t>
            </w:r>
            <w:proofErr w:type="spellStart"/>
            <w:r w:rsidRPr="00CB7670">
              <w:t>ipsum</w:t>
            </w:r>
            <w:proofErr w:type="spellEnd"/>
            <w:r w:rsidRPr="00CB7670">
              <w:t xml:space="preserve"> </w:t>
            </w:r>
          </w:p>
        </w:tc>
        <w:tc>
          <w:tcPr>
            <w:tcW w:w="2223" w:type="dxa"/>
            <w:tcBorders>
              <w:bottom w:val="single" w:sz="4" w:space="0" w:color="auto"/>
            </w:tcBorders>
            <w:vAlign w:val="center"/>
          </w:tcPr>
          <w:p w14:paraId="2B4740D4" w14:textId="77777777" w:rsidR="00495857" w:rsidRPr="00CB7670" w:rsidRDefault="00495857" w:rsidP="006F48BA">
            <w:pPr>
              <w:pStyle w:val="TABbody"/>
            </w:pPr>
            <w:r w:rsidRPr="00CB7670">
              <w:t>000</w:t>
            </w:r>
          </w:p>
        </w:tc>
      </w:tr>
    </w:tbl>
    <w:p w14:paraId="76FADA75" w14:textId="77777777" w:rsidR="006B1CD4" w:rsidRPr="00CB7670" w:rsidRDefault="006B1CD4" w:rsidP="008C1BCD">
      <w:pPr>
        <w:jc w:val="both"/>
        <w:rPr>
          <w:rFonts w:ascii="Manrope" w:hAnsi="Manrope"/>
          <w:i/>
          <w:sz w:val="20"/>
          <w:szCs w:val="20"/>
        </w:rPr>
      </w:pPr>
    </w:p>
    <w:p w14:paraId="39E6DC04" w14:textId="3CD9ED17" w:rsidR="008C1BCD" w:rsidRPr="00CB7670" w:rsidRDefault="008C1BCD" w:rsidP="008C1BCD">
      <w:pPr>
        <w:jc w:val="both"/>
        <w:rPr>
          <w:rFonts w:ascii="Manrope" w:hAnsi="Manrope"/>
          <w:i/>
          <w:sz w:val="20"/>
          <w:szCs w:val="20"/>
        </w:rPr>
      </w:pPr>
      <w:r w:rsidRPr="00CB7670">
        <w:rPr>
          <w:rFonts w:ascii="Manrope" w:hAnsi="Manrope"/>
          <w:i/>
          <w:sz w:val="20"/>
          <w:szCs w:val="20"/>
        </w:rPr>
        <w:t>ai sensi dell’art. 47 del D.P.R. 28.12.2000, n. 445 e consapevole delle sanzioni penali previste dall’art. 76 del medesimo Decreto in caso di dichiarazioni mendaci</w:t>
      </w:r>
    </w:p>
    <w:p w14:paraId="74D33EEC" w14:textId="7F14D3EE" w:rsidR="008C1BCD" w:rsidRPr="00CB7670" w:rsidRDefault="008C1BCD" w:rsidP="002254BB">
      <w:pPr>
        <w:pStyle w:val="Titolo2"/>
        <w:jc w:val="center"/>
        <w:rPr>
          <w:color w:val="44546A" w:themeColor="text2"/>
          <w:lang w:val="it-IT"/>
        </w:rPr>
      </w:pPr>
      <w:r w:rsidRPr="00CB7670">
        <w:rPr>
          <w:color w:val="44546A" w:themeColor="text2"/>
          <w:lang w:val="it-IT"/>
        </w:rPr>
        <w:t>DICHIARA</w:t>
      </w:r>
    </w:p>
    <w:p w14:paraId="6721CBCF" w14:textId="77777777" w:rsidR="008C1BCD" w:rsidRPr="00CB7670" w:rsidRDefault="008C1BCD" w:rsidP="007365B2">
      <w:pPr>
        <w:pStyle w:val="Paragrafoelenco"/>
        <w:numPr>
          <w:ilvl w:val="0"/>
          <w:numId w:val="6"/>
        </w:numPr>
        <w:tabs>
          <w:tab w:val="left" w:pos="567"/>
        </w:tabs>
        <w:spacing w:line="259" w:lineRule="auto"/>
        <w:jc w:val="both"/>
        <w:rPr>
          <w:rFonts w:ascii="Manrope" w:hAnsi="Manrope"/>
          <w:sz w:val="20"/>
          <w:szCs w:val="20"/>
        </w:rPr>
      </w:pPr>
      <w:r w:rsidRPr="00CB7670">
        <w:rPr>
          <w:rFonts w:ascii="Manrope" w:hAnsi="Manrope"/>
          <w:sz w:val="20"/>
          <w:szCs w:val="20"/>
        </w:rPr>
        <w:t>di accettare espressamente la nomina di cui sopra;</w:t>
      </w:r>
    </w:p>
    <w:p w14:paraId="1694A994" w14:textId="77777777" w:rsidR="008C1BCD" w:rsidRPr="00CB7670" w:rsidRDefault="008C1BCD" w:rsidP="007365B2">
      <w:pPr>
        <w:pStyle w:val="Paragrafoelenco"/>
        <w:numPr>
          <w:ilvl w:val="0"/>
          <w:numId w:val="6"/>
        </w:numPr>
        <w:tabs>
          <w:tab w:val="left" w:pos="567"/>
        </w:tabs>
        <w:spacing w:line="259" w:lineRule="auto"/>
        <w:jc w:val="both"/>
        <w:rPr>
          <w:rFonts w:ascii="Manrope" w:hAnsi="Manrope"/>
          <w:sz w:val="20"/>
          <w:szCs w:val="20"/>
        </w:rPr>
      </w:pPr>
      <w:r w:rsidRPr="00CB7670">
        <w:rPr>
          <w:rFonts w:ascii="Manrope" w:hAnsi="Manrope"/>
          <w:sz w:val="20"/>
          <w:szCs w:val="20"/>
        </w:rPr>
        <w:t>di non aver prestato attività lavorativa o di consulenza presso una delle imprese partecipanti alla procedura in oggetto nel triennio precedente alla data della determina a contrarre. Tale divieto si estende anche a coloro che abbiano effettivamente preso parte a contratti e convenzioni per prestazioni in collaborazione e per conto terzi, stipulati con l’Ateneo da imprese partecipanti;</w:t>
      </w:r>
    </w:p>
    <w:p w14:paraId="603A6363" w14:textId="68967E61" w:rsidR="008C1BCD" w:rsidRPr="00CB7670" w:rsidRDefault="008C1BCD" w:rsidP="007365B2">
      <w:pPr>
        <w:pStyle w:val="Paragrafoelenco"/>
        <w:numPr>
          <w:ilvl w:val="0"/>
          <w:numId w:val="6"/>
        </w:numPr>
        <w:tabs>
          <w:tab w:val="left" w:pos="567"/>
        </w:tabs>
        <w:spacing w:line="259" w:lineRule="auto"/>
        <w:jc w:val="both"/>
        <w:rPr>
          <w:rFonts w:ascii="Manrope" w:hAnsi="Manrope"/>
          <w:sz w:val="20"/>
          <w:szCs w:val="20"/>
        </w:rPr>
      </w:pPr>
      <w:r w:rsidRPr="00CB7670">
        <w:rPr>
          <w:rFonts w:ascii="Manrope" w:hAnsi="Manrope"/>
          <w:sz w:val="20"/>
          <w:szCs w:val="20"/>
        </w:rPr>
        <w:t xml:space="preserve">di non essere nelle condizioni di incompatibilità, astensione o conflitto di interessi di cui agli artt. 16 e 93, comma 5, del </w:t>
      </w:r>
      <w:proofErr w:type="spellStart"/>
      <w:r w:rsidRPr="00CB7670">
        <w:rPr>
          <w:rFonts w:ascii="Manrope" w:hAnsi="Manrope"/>
          <w:sz w:val="20"/>
          <w:szCs w:val="20"/>
        </w:rPr>
        <w:t>D.lgs</w:t>
      </w:r>
      <w:proofErr w:type="spellEnd"/>
      <w:r w:rsidRPr="00CB7670">
        <w:rPr>
          <w:rFonts w:ascii="Manrope" w:hAnsi="Manrope"/>
          <w:sz w:val="20"/>
          <w:szCs w:val="20"/>
        </w:rPr>
        <w:t xml:space="preserve"> n. 31 marzo 2023, n. 36</w:t>
      </w:r>
      <w:r w:rsidR="0084700D" w:rsidRPr="00CB7670">
        <w:rPr>
          <w:rStyle w:val="Rimandonotadichiusura"/>
          <w:rFonts w:ascii="Manrope" w:hAnsi="Manrope"/>
          <w:sz w:val="20"/>
          <w:szCs w:val="20"/>
        </w:rPr>
        <w:endnoteReference w:id="1"/>
      </w:r>
      <w:r w:rsidR="0084700D" w:rsidRPr="00CB7670">
        <w:rPr>
          <w:rFonts w:ascii="Manrope" w:hAnsi="Manrope"/>
          <w:sz w:val="20"/>
          <w:szCs w:val="20"/>
        </w:rPr>
        <w:t xml:space="preserve"> </w:t>
      </w:r>
      <w:r w:rsidRPr="00CB7670">
        <w:rPr>
          <w:rFonts w:ascii="Manrope" w:hAnsi="Manrope"/>
          <w:sz w:val="20"/>
          <w:szCs w:val="20"/>
        </w:rPr>
        <w:t xml:space="preserve"> e all’art. 7 del D.P.R. 16 aprile 2013, n. 62</w:t>
      </w:r>
      <w:r w:rsidR="0084700D" w:rsidRPr="00CB7670">
        <w:rPr>
          <w:rStyle w:val="Rimandonotadichiusura"/>
          <w:rFonts w:ascii="Manrope" w:hAnsi="Manrope"/>
          <w:sz w:val="20"/>
          <w:szCs w:val="20"/>
        </w:rPr>
        <w:endnoteReference w:id="2"/>
      </w:r>
      <w:r w:rsidRPr="00CB7670">
        <w:rPr>
          <w:rFonts w:ascii="Manrope" w:hAnsi="Manrope"/>
          <w:sz w:val="20"/>
          <w:szCs w:val="20"/>
        </w:rPr>
        <w:t xml:space="preserve"> </w:t>
      </w:r>
      <w:r w:rsidR="00EC4C1A" w:rsidRPr="00CB7670">
        <w:rPr>
          <w:rFonts w:ascii="Manrope" w:hAnsi="Manrope"/>
          <w:sz w:val="20"/>
          <w:szCs w:val="20"/>
        </w:rPr>
        <w:t>nonché</w:t>
      </w:r>
      <w:r w:rsidRPr="00CB7670">
        <w:rPr>
          <w:rFonts w:ascii="Manrope" w:hAnsi="Manrope"/>
          <w:sz w:val="20"/>
          <w:szCs w:val="20"/>
        </w:rPr>
        <w:t xml:space="preserve"> all’art. 4</w:t>
      </w:r>
      <w:bookmarkStart w:id="0" w:name="_Hlk125553280"/>
      <w:r w:rsidRPr="00CB7670">
        <w:rPr>
          <w:rFonts w:ascii="Manrope" w:hAnsi="Manrope"/>
          <w:sz w:val="20"/>
          <w:szCs w:val="20"/>
        </w:rPr>
        <w:t xml:space="preserve"> del “Regolamento per la definizione dei criteri e delle modalità di nomina delle Commissioni giudicatrici per l’assegnazione di contratti di appalto e concessione nonché di provvedimenti attributivi di vantaggi economici</w:t>
      </w:r>
      <w:r w:rsidR="0089002A" w:rsidRPr="00CB7670">
        <w:rPr>
          <w:rFonts w:ascii="Manrope" w:hAnsi="Manrope"/>
          <w:sz w:val="20"/>
          <w:szCs w:val="20"/>
        </w:rPr>
        <w:t>”</w:t>
      </w:r>
      <w:r w:rsidRPr="00CB7670">
        <w:rPr>
          <w:rFonts w:ascii="Manrope" w:hAnsi="Manrope"/>
          <w:sz w:val="20"/>
          <w:szCs w:val="20"/>
        </w:rPr>
        <w:t>, vigente</w:t>
      </w:r>
      <w:r w:rsidR="00EE4277" w:rsidRPr="00CB7670">
        <w:rPr>
          <w:rStyle w:val="Rimandonotadichiusura"/>
          <w:rFonts w:ascii="Manrope" w:hAnsi="Manrope"/>
          <w:sz w:val="20"/>
          <w:szCs w:val="20"/>
        </w:rPr>
        <w:endnoteReference w:id="3"/>
      </w:r>
      <w:r w:rsidRPr="00CB7670">
        <w:rPr>
          <w:rFonts w:ascii="Manrope" w:hAnsi="Manrope"/>
          <w:sz w:val="20"/>
          <w:szCs w:val="20"/>
        </w:rPr>
        <w:t>;</w:t>
      </w:r>
    </w:p>
    <w:bookmarkEnd w:id="0"/>
    <w:p w14:paraId="3B03B7E3" w14:textId="77777777" w:rsidR="008C1BCD" w:rsidRPr="00CB7670" w:rsidRDefault="008C1BCD" w:rsidP="007365B2">
      <w:pPr>
        <w:pStyle w:val="Paragrafoelenco"/>
        <w:numPr>
          <w:ilvl w:val="0"/>
          <w:numId w:val="6"/>
        </w:numPr>
        <w:tabs>
          <w:tab w:val="left" w:pos="567"/>
        </w:tabs>
        <w:spacing w:line="259" w:lineRule="auto"/>
        <w:jc w:val="both"/>
        <w:rPr>
          <w:rFonts w:ascii="Manrope" w:hAnsi="Manrope"/>
          <w:sz w:val="20"/>
          <w:szCs w:val="20"/>
        </w:rPr>
      </w:pPr>
      <w:r w:rsidRPr="00CB7670">
        <w:rPr>
          <w:rFonts w:ascii="Manrope" w:hAnsi="Manrope"/>
          <w:sz w:val="20"/>
          <w:szCs w:val="20"/>
        </w:rPr>
        <w:lastRenderedPageBreak/>
        <w:t>per quanto a propria conoscenza, non sussistono cause di incompatibilità o conflitto di interesse, rapporto di coniugio o di parentela o di affinità fino al 2° grado compreso, o un rapporto di unioni civili tra persone dello stesso sesso così come regolato dall’art. 1 della Legge 20 maggio 2016, n. 76 oppure essere in stato di convivenza di fatto così come regolato dall’art. 1, commi 37 e ss. della Legge 20 maggio 2016, n. 76, con i titolari, gli amministratori, i soci e i dipendenti degli Operatori economici partecipanti alla procedura;</w:t>
      </w:r>
    </w:p>
    <w:p w14:paraId="18B26106" w14:textId="7F10E739" w:rsidR="008C1BCD" w:rsidRPr="00CB7670" w:rsidRDefault="008C1BCD" w:rsidP="007365B2">
      <w:pPr>
        <w:pStyle w:val="Paragrafoelenco"/>
        <w:numPr>
          <w:ilvl w:val="0"/>
          <w:numId w:val="6"/>
        </w:numPr>
        <w:tabs>
          <w:tab w:val="left" w:pos="567"/>
        </w:tabs>
        <w:spacing w:line="259" w:lineRule="auto"/>
        <w:jc w:val="both"/>
        <w:rPr>
          <w:rFonts w:ascii="Manrope" w:hAnsi="Manrope"/>
          <w:sz w:val="20"/>
          <w:szCs w:val="20"/>
        </w:rPr>
      </w:pPr>
      <w:r w:rsidRPr="00CB7670">
        <w:rPr>
          <w:rFonts w:ascii="Manrope" w:hAnsi="Manrope"/>
          <w:sz w:val="20"/>
          <w:szCs w:val="20"/>
        </w:rPr>
        <w:t>di non incorrere in alcuna delle ipotesi previste dall’art. 51 codice di procedura civile</w:t>
      </w:r>
      <w:r w:rsidR="00692A5F" w:rsidRPr="00CB7670">
        <w:rPr>
          <w:rStyle w:val="Rimandonotadichiusura"/>
          <w:rFonts w:ascii="Manrope" w:hAnsi="Manrope"/>
          <w:sz w:val="20"/>
          <w:szCs w:val="20"/>
        </w:rPr>
        <w:endnoteReference w:id="4"/>
      </w:r>
      <w:r w:rsidR="00692A5F" w:rsidRPr="00CB7670">
        <w:rPr>
          <w:rFonts w:ascii="Manrope" w:hAnsi="Manrope"/>
          <w:sz w:val="20"/>
          <w:szCs w:val="20"/>
        </w:rPr>
        <w:t xml:space="preserve"> </w:t>
      </w:r>
      <w:r w:rsidRPr="00CB7670">
        <w:rPr>
          <w:rFonts w:ascii="Manrope" w:hAnsi="Manrope"/>
          <w:sz w:val="20"/>
          <w:szCs w:val="20"/>
        </w:rPr>
        <w:t>e che non sussistono comunque gravi ragioni di convenienza che inducono all’astensione dall’incarico;</w:t>
      </w:r>
    </w:p>
    <w:p w14:paraId="0E40E9B1" w14:textId="77777777" w:rsidR="008C1BCD" w:rsidRPr="00CB7670" w:rsidRDefault="008C1BCD" w:rsidP="007365B2">
      <w:pPr>
        <w:pStyle w:val="Paragrafoelenco"/>
        <w:numPr>
          <w:ilvl w:val="0"/>
          <w:numId w:val="6"/>
        </w:numPr>
        <w:tabs>
          <w:tab w:val="left" w:pos="567"/>
        </w:tabs>
        <w:spacing w:line="259" w:lineRule="auto"/>
        <w:jc w:val="both"/>
        <w:rPr>
          <w:rFonts w:ascii="Manrope" w:hAnsi="Manrope"/>
          <w:sz w:val="20"/>
          <w:szCs w:val="20"/>
        </w:rPr>
      </w:pPr>
      <w:r w:rsidRPr="00CB7670">
        <w:rPr>
          <w:rFonts w:ascii="Manrope" w:hAnsi="Manrope"/>
          <w:sz w:val="20"/>
          <w:szCs w:val="20"/>
        </w:rPr>
        <w:t>di non essere stato condannato, anche con sentenza non passata in giudicato, per i reati previsti nel capo I del titolo II del libro secondo del codice penale;</w:t>
      </w:r>
    </w:p>
    <w:p w14:paraId="6B51DBDA" w14:textId="0A06AB1B" w:rsidR="008C1BCD" w:rsidRPr="00CB7670" w:rsidRDefault="008C1BCD" w:rsidP="007365B2">
      <w:pPr>
        <w:pStyle w:val="Paragrafoelenco"/>
        <w:numPr>
          <w:ilvl w:val="0"/>
          <w:numId w:val="6"/>
        </w:numPr>
        <w:tabs>
          <w:tab w:val="left" w:pos="567"/>
        </w:tabs>
        <w:spacing w:line="259" w:lineRule="auto"/>
        <w:jc w:val="both"/>
        <w:rPr>
          <w:rFonts w:ascii="Manrope" w:hAnsi="Manrope"/>
          <w:sz w:val="20"/>
          <w:szCs w:val="20"/>
        </w:rPr>
      </w:pPr>
      <w:bookmarkStart w:id="1" w:name="_Hlk125553078"/>
      <w:r w:rsidRPr="00CB7670">
        <w:rPr>
          <w:rFonts w:ascii="Manrope" w:hAnsi="Manrope"/>
          <w:sz w:val="20"/>
          <w:szCs w:val="20"/>
        </w:rPr>
        <w:t>di non essere nelle condizioni di incompatibilità di cui</w:t>
      </w:r>
      <w:bookmarkEnd w:id="1"/>
      <w:r w:rsidRPr="00CB7670">
        <w:rPr>
          <w:rFonts w:ascii="Manrope" w:hAnsi="Manrope"/>
          <w:sz w:val="20"/>
          <w:szCs w:val="20"/>
        </w:rPr>
        <w:t xml:space="preserve"> alle disposizioni normative Legge 6 novembre 2012, n. 190</w:t>
      </w:r>
      <w:r w:rsidR="002B12D2" w:rsidRPr="00CB7670">
        <w:rPr>
          <w:rFonts w:ascii="Manrope" w:hAnsi="Manrope"/>
          <w:sz w:val="20"/>
          <w:szCs w:val="20"/>
        </w:rPr>
        <w:t xml:space="preserve"> e del</w:t>
      </w:r>
      <w:r w:rsidRPr="00CB7670">
        <w:rPr>
          <w:rFonts w:ascii="Manrope" w:hAnsi="Manrope"/>
          <w:sz w:val="20"/>
          <w:szCs w:val="20"/>
        </w:rPr>
        <w:t xml:space="preserve"> D. Lgs. 8 aprile 2013, n. 39 ai fini della nomina a componente della Commissione giudicatrice della gara in oggetto;</w:t>
      </w:r>
    </w:p>
    <w:p w14:paraId="484A7BCF" w14:textId="48B4A493" w:rsidR="00DC655E" w:rsidRPr="00CB7670" w:rsidRDefault="00DC655E" w:rsidP="007365B2">
      <w:pPr>
        <w:pStyle w:val="Paragrafoelenco"/>
        <w:numPr>
          <w:ilvl w:val="0"/>
          <w:numId w:val="6"/>
        </w:numPr>
        <w:jc w:val="both"/>
        <w:rPr>
          <w:rFonts w:ascii="Manrope" w:hAnsi="Manrope"/>
          <w:sz w:val="20"/>
          <w:szCs w:val="20"/>
        </w:rPr>
      </w:pPr>
      <w:r w:rsidRPr="00CB7670">
        <w:rPr>
          <w:rFonts w:ascii="Manrope" w:hAnsi="Manrope"/>
          <w:sz w:val="20"/>
          <w:szCs w:val="20"/>
        </w:rPr>
        <w:t xml:space="preserve">di conoscere il Codice etico e di comportamento del Politecnico di Milano (reperibile al seguente link: </w:t>
      </w:r>
      <w:hyperlink r:id="rId8" w:history="1">
        <w:r w:rsidRPr="00CB7670">
          <w:rPr>
            <w:rStyle w:val="Collegamentoipertestuale"/>
            <w:rFonts w:ascii="Manrope" w:hAnsi="Manrope"/>
            <w:sz w:val="20"/>
            <w:szCs w:val="20"/>
          </w:rPr>
          <w:t>Codice etico</w:t>
        </w:r>
      </w:hyperlink>
      <w:r w:rsidRPr="00CB7670">
        <w:rPr>
          <w:rFonts w:ascii="Manrope" w:hAnsi="Manrope"/>
          <w:sz w:val="20"/>
          <w:szCs w:val="20"/>
        </w:rPr>
        <w:t xml:space="preserve">) e il Piano integrato di attività e organizzazione (reperibile al seguente link: </w:t>
      </w:r>
      <w:hyperlink r:id="rId9" w:history="1">
        <w:r w:rsidRPr="00CB7670">
          <w:rPr>
            <w:rStyle w:val="Collegamentoipertestuale"/>
            <w:rFonts w:ascii="Manrope" w:hAnsi="Manrope"/>
            <w:sz w:val="20"/>
            <w:szCs w:val="20"/>
          </w:rPr>
          <w:t>PIAO</w:t>
        </w:r>
      </w:hyperlink>
      <w:r w:rsidRPr="00CB7670">
        <w:rPr>
          <w:rFonts w:ascii="Manrope" w:hAnsi="Manrope"/>
          <w:sz w:val="20"/>
          <w:szCs w:val="20"/>
        </w:rPr>
        <w:t>)</w:t>
      </w:r>
      <w:r w:rsidR="00A33F29" w:rsidRPr="00CB7670">
        <w:rPr>
          <w:rFonts w:ascii="Manrope" w:hAnsi="Manrope"/>
          <w:sz w:val="20"/>
          <w:szCs w:val="20"/>
        </w:rPr>
        <w:t xml:space="preserve"> vigenti</w:t>
      </w:r>
      <w:r w:rsidRPr="00CB7670">
        <w:rPr>
          <w:rFonts w:ascii="Manrope" w:hAnsi="Manrope"/>
          <w:sz w:val="20"/>
          <w:szCs w:val="20"/>
        </w:rPr>
        <w:t>;</w:t>
      </w:r>
    </w:p>
    <w:p w14:paraId="2F516002" w14:textId="77777777" w:rsidR="007365B2" w:rsidRPr="00CB7670" w:rsidRDefault="008C1BCD" w:rsidP="007365B2">
      <w:pPr>
        <w:pStyle w:val="Paragrafoelenco"/>
        <w:numPr>
          <w:ilvl w:val="0"/>
          <w:numId w:val="6"/>
        </w:numPr>
        <w:tabs>
          <w:tab w:val="left" w:pos="567"/>
        </w:tabs>
        <w:spacing w:line="259" w:lineRule="auto"/>
        <w:jc w:val="both"/>
        <w:rPr>
          <w:rFonts w:ascii="Manrope" w:hAnsi="Manrope"/>
          <w:sz w:val="20"/>
          <w:szCs w:val="20"/>
        </w:rPr>
      </w:pPr>
      <w:r w:rsidRPr="00CB7670">
        <w:rPr>
          <w:rFonts w:ascii="Manrope" w:hAnsi="Manrope"/>
          <w:sz w:val="20"/>
          <w:szCs w:val="20"/>
        </w:rPr>
        <w:t>di impegnarsi, qualora in un momento successivo all’assunzione dell’incarico, sopraggiunga una delle condizioni di incompatibilità di cui alle predette norme, ovvero una situazione (o la conoscenza della sussistenza di una situazione) di conflitto di interessi, anche potenziale, a darne notizia agli altri componenti della Commissione e al Responsabile della prevenzione della corruzione e della trasparenza di Ateneo (</w:t>
      </w:r>
      <w:hyperlink r:id="rId10" w:history="1">
        <w:r w:rsidRPr="00CB7670">
          <w:rPr>
            <w:rStyle w:val="Collegamentoipertestuale"/>
            <w:rFonts w:ascii="Manrope" w:hAnsi="Manrope"/>
            <w:color w:val="auto"/>
            <w:sz w:val="20"/>
            <w:szCs w:val="20"/>
          </w:rPr>
          <w:t>anticorruzione@polimi.it</w:t>
        </w:r>
      </w:hyperlink>
      <w:r w:rsidRPr="00CB7670">
        <w:rPr>
          <w:rFonts w:ascii="Manrope" w:hAnsi="Manrope"/>
          <w:sz w:val="20"/>
          <w:szCs w:val="20"/>
        </w:rPr>
        <w:t>);</w:t>
      </w:r>
    </w:p>
    <w:p w14:paraId="5639B573" w14:textId="1029D15C" w:rsidR="008C1BCD" w:rsidRPr="00CB7670" w:rsidRDefault="008C1BCD" w:rsidP="007365B2">
      <w:pPr>
        <w:pStyle w:val="Paragrafoelenco"/>
        <w:numPr>
          <w:ilvl w:val="0"/>
          <w:numId w:val="6"/>
        </w:numPr>
        <w:tabs>
          <w:tab w:val="left" w:pos="567"/>
        </w:tabs>
        <w:spacing w:line="259" w:lineRule="auto"/>
        <w:jc w:val="both"/>
        <w:rPr>
          <w:rFonts w:ascii="Manrope" w:hAnsi="Manrope"/>
          <w:sz w:val="20"/>
          <w:szCs w:val="20"/>
        </w:rPr>
      </w:pPr>
      <w:r w:rsidRPr="00CB7670">
        <w:rPr>
          <w:rFonts w:ascii="Manrope" w:hAnsi="Manrope" w:cs="Frank Ruhl Libre"/>
          <w:sz w:val="20"/>
          <w:szCs w:val="20"/>
        </w:rPr>
        <w:t>di essere informato che, ai sensi e per gli effetti di cui al Regolamento UE n. 679/2016 (o GDPR), i propri dati personali sono trattati esclusivamente per gli adempimenti documentali e il soddisfacimento dei requisiti normativi connessi alla procedura di gara e nell’ambito del procedimento per il quale la presente dichiarazione viene resa, secondo quanto previsto nella Informativa ex art. 13 del GDPR, consultabile al seguente link:</w:t>
      </w:r>
      <w:r w:rsidR="00A235BF" w:rsidRPr="00CB7670">
        <w:rPr>
          <w:rFonts w:ascii="Manrope" w:hAnsi="Manrope" w:cs="Frank Ruhl Libre"/>
          <w:sz w:val="20"/>
          <w:szCs w:val="20"/>
        </w:rPr>
        <w:t xml:space="preserve"> </w:t>
      </w:r>
      <w:hyperlink r:id="rId11" w:history="1">
        <w:r w:rsidR="00B539D4" w:rsidRPr="00CB7670">
          <w:rPr>
            <w:rFonts w:ascii="Manrope" w:hAnsi="Manrope" w:cs="Frank Ruhl Libre"/>
            <w:color w:val="0563C1" w:themeColor="hyperlink"/>
            <w:sz w:val="20"/>
            <w:szCs w:val="20"/>
            <w:u w:val="single"/>
          </w:rPr>
          <w:t>Informativa privacy</w:t>
        </w:r>
      </w:hyperlink>
      <w:r w:rsidR="00B539D4" w:rsidRPr="00CB7670">
        <w:rPr>
          <w:rFonts w:ascii="Manrope" w:hAnsi="Manrope" w:cs="Frank Ruhl Libre"/>
          <w:sz w:val="20"/>
          <w:szCs w:val="20"/>
        </w:rPr>
        <w:t>;</w:t>
      </w:r>
    </w:p>
    <w:p w14:paraId="7EF2DAA9" w14:textId="42431748" w:rsidR="008C1BCD" w:rsidRPr="00CB7670" w:rsidRDefault="008C1BCD" w:rsidP="007365B2">
      <w:pPr>
        <w:pStyle w:val="Paragrafoelenco"/>
        <w:numPr>
          <w:ilvl w:val="0"/>
          <w:numId w:val="6"/>
        </w:numPr>
        <w:spacing w:line="259" w:lineRule="auto"/>
        <w:jc w:val="both"/>
        <w:rPr>
          <w:rFonts w:ascii="Manrope" w:hAnsi="Manrope" w:cs="Frank Ruhl Libre"/>
          <w:sz w:val="20"/>
          <w:szCs w:val="20"/>
          <w:lang w:eastAsia="it-IT"/>
        </w:rPr>
      </w:pPr>
      <w:r w:rsidRPr="00CB7670">
        <w:rPr>
          <w:rFonts w:ascii="Manrope" w:hAnsi="Manrope" w:cs="Frank Ruhl Libre"/>
          <w:sz w:val="20"/>
          <w:szCs w:val="20"/>
          <w:lang w:eastAsia="it-IT"/>
        </w:rPr>
        <w:t>di essere informato che il proprio curriculum vitae sarà pubblicat</w:t>
      </w:r>
      <w:r w:rsidR="00B84219" w:rsidRPr="00CB7670">
        <w:rPr>
          <w:rFonts w:ascii="Manrope" w:hAnsi="Manrope" w:cs="Frank Ruhl Libre"/>
          <w:sz w:val="20"/>
          <w:szCs w:val="20"/>
          <w:lang w:eastAsia="it-IT"/>
        </w:rPr>
        <w:t>o</w:t>
      </w:r>
      <w:r w:rsidRPr="00CB7670">
        <w:rPr>
          <w:rFonts w:ascii="Manrope" w:hAnsi="Manrope" w:cs="Frank Ruhl Libre"/>
          <w:sz w:val="20"/>
          <w:szCs w:val="20"/>
          <w:lang w:eastAsia="it-IT"/>
        </w:rPr>
        <w:t xml:space="preserve"> sul sito</w:t>
      </w:r>
      <w:r w:rsidR="00FF484E" w:rsidRPr="00CB7670">
        <w:rPr>
          <w:rFonts w:ascii="Manrope" w:hAnsi="Manrope" w:cs="Frank Ruhl Libre"/>
          <w:sz w:val="20"/>
          <w:szCs w:val="20"/>
          <w:lang w:eastAsia="it-IT"/>
        </w:rPr>
        <w:t xml:space="preserve"> del Politecnico di Milano nella sezione</w:t>
      </w:r>
      <w:r w:rsidRPr="00CB7670">
        <w:rPr>
          <w:rFonts w:ascii="Manrope" w:hAnsi="Manrope" w:cs="Frank Ruhl Libre"/>
          <w:sz w:val="20"/>
          <w:szCs w:val="20"/>
          <w:lang w:eastAsia="it-IT"/>
        </w:rPr>
        <w:t xml:space="preserve"> </w:t>
      </w:r>
      <w:hyperlink r:id="rId12" w:history="1">
        <w:r w:rsidR="009C142A" w:rsidRPr="00CB7670">
          <w:rPr>
            <w:rStyle w:val="Collegamentoipertestuale"/>
            <w:rFonts w:ascii="Manrope" w:hAnsi="Manrope" w:cs="Frank Ruhl Libre"/>
            <w:i/>
            <w:iCs/>
            <w:sz w:val="20"/>
            <w:szCs w:val="20"/>
            <w:lang w:eastAsia="it-IT"/>
          </w:rPr>
          <w:t>Bandi per le imprese</w:t>
        </w:r>
      </w:hyperlink>
      <w:r w:rsidRPr="00CB7670">
        <w:rPr>
          <w:rFonts w:ascii="Manrope" w:hAnsi="Manrope" w:cs="Frank Ruhl Libre"/>
          <w:sz w:val="20"/>
          <w:szCs w:val="20"/>
          <w:lang w:eastAsia="it-IT"/>
        </w:rPr>
        <w:t xml:space="preserve"> in ottemperanza a quanto prescritto dall’art. 28, comma 2 del D. Lgs. 31 marzo 2023, n. 36</w:t>
      </w:r>
      <w:r w:rsidR="00692A5F" w:rsidRPr="00CB7670">
        <w:rPr>
          <w:rStyle w:val="Rimandonotadichiusura"/>
          <w:rFonts w:ascii="Manrope" w:hAnsi="Manrope" w:cs="Frank Ruhl Libre"/>
          <w:sz w:val="20"/>
          <w:szCs w:val="20"/>
          <w:lang w:eastAsia="it-IT"/>
        </w:rPr>
        <w:endnoteReference w:id="5"/>
      </w:r>
      <w:r w:rsidRPr="00CB7670">
        <w:rPr>
          <w:rFonts w:ascii="Manrope" w:hAnsi="Manrope" w:cs="Frank Ruhl Libre"/>
          <w:sz w:val="20"/>
          <w:szCs w:val="20"/>
          <w:lang w:eastAsia="it-IT"/>
        </w:rPr>
        <w:t>.</w:t>
      </w:r>
    </w:p>
    <w:p w14:paraId="45BB7616" w14:textId="77777777" w:rsidR="008C1BCD" w:rsidRPr="00CB7670" w:rsidRDefault="008C1BCD" w:rsidP="008C1BCD">
      <w:pPr>
        <w:jc w:val="both"/>
        <w:rPr>
          <w:rFonts w:ascii="Manrope" w:hAnsi="Manrope"/>
          <w:sz w:val="20"/>
          <w:szCs w:val="20"/>
        </w:rPr>
      </w:pPr>
    </w:p>
    <w:p w14:paraId="43AE0B06" w14:textId="77777777" w:rsidR="008C1BCD" w:rsidRPr="00CB7670" w:rsidRDefault="008C1BCD" w:rsidP="008C1BCD">
      <w:pPr>
        <w:jc w:val="both"/>
        <w:rPr>
          <w:rFonts w:ascii="Manrope" w:hAnsi="Manrope"/>
          <w:sz w:val="20"/>
          <w:szCs w:val="20"/>
        </w:rPr>
      </w:pPr>
    </w:p>
    <w:p w14:paraId="06E9C7A4" w14:textId="4EAF00A7" w:rsidR="008C1BCD" w:rsidRPr="00692A5F" w:rsidRDefault="00692A5F" w:rsidP="00692A5F">
      <w:pPr>
        <w:tabs>
          <w:tab w:val="left" w:pos="6237"/>
          <w:tab w:val="left" w:pos="6804"/>
        </w:tabs>
        <w:jc w:val="right"/>
        <w:rPr>
          <w:rFonts w:ascii="Manrope" w:hAnsi="Manrope"/>
          <w:i/>
          <w:iCs/>
          <w:sz w:val="16"/>
          <w:szCs w:val="16"/>
        </w:rPr>
      </w:pPr>
      <w:r w:rsidRPr="00CB7670">
        <w:rPr>
          <w:rFonts w:ascii="Manrope" w:hAnsi="Manrope"/>
          <w:i/>
          <w:iCs/>
          <w:sz w:val="16"/>
          <w:szCs w:val="16"/>
        </w:rPr>
        <w:t>Firm</w:t>
      </w:r>
      <w:r w:rsidRPr="00692A5F">
        <w:rPr>
          <w:rFonts w:ascii="Manrope" w:hAnsi="Manrope"/>
          <w:i/>
          <w:iCs/>
          <w:sz w:val="16"/>
          <w:szCs w:val="16"/>
        </w:rPr>
        <w:t>ato digitalmente ai sensi della normativa vigente</w:t>
      </w:r>
    </w:p>
    <w:p w14:paraId="519C859D" w14:textId="77777777" w:rsidR="008C1BCD" w:rsidRPr="003631BD" w:rsidRDefault="008C1BCD" w:rsidP="008C1BCD">
      <w:pPr>
        <w:tabs>
          <w:tab w:val="left" w:pos="6237"/>
          <w:tab w:val="left" w:pos="6804"/>
        </w:tabs>
        <w:jc w:val="center"/>
        <w:rPr>
          <w:rFonts w:ascii="Manrope" w:hAnsi="Manrope"/>
          <w:sz w:val="20"/>
          <w:szCs w:val="20"/>
        </w:rPr>
      </w:pPr>
    </w:p>
    <w:p w14:paraId="7CBECA39" w14:textId="77777777" w:rsidR="008C1BCD" w:rsidRPr="003631BD" w:rsidRDefault="008C1BCD" w:rsidP="008C1BCD">
      <w:pPr>
        <w:tabs>
          <w:tab w:val="left" w:pos="6237"/>
          <w:tab w:val="left" w:pos="6804"/>
        </w:tabs>
        <w:jc w:val="center"/>
        <w:rPr>
          <w:rFonts w:ascii="Manrope" w:hAnsi="Manrope"/>
          <w:sz w:val="20"/>
          <w:szCs w:val="20"/>
        </w:rPr>
      </w:pPr>
    </w:p>
    <w:p w14:paraId="5C4C272C" w14:textId="553607A0" w:rsidR="008C1BCD" w:rsidRPr="00692A5F" w:rsidRDefault="008C1BCD" w:rsidP="00692A5F">
      <w:pPr>
        <w:rPr>
          <w:rFonts w:ascii="Manrope" w:hAnsi="Manrope"/>
          <w:sz w:val="20"/>
          <w:szCs w:val="20"/>
        </w:rPr>
      </w:pPr>
      <w:r w:rsidRPr="003631BD">
        <w:rPr>
          <w:rFonts w:ascii="Manrope" w:hAnsi="Manrope"/>
          <w:sz w:val="20"/>
          <w:szCs w:val="20"/>
        </w:rPr>
        <w:br w:type="page"/>
      </w:r>
    </w:p>
    <w:p w14:paraId="36FD39DC" w14:textId="77777777" w:rsidR="00162E69" w:rsidRPr="003631BD" w:rsidRDefault="00162E69">
      <w:pPr>
        <w:rPr>
          <w:rFonts w:ascii="Manrope" w:hAnsi="Manrope"/>
          <w:sz w:val="20"/>
          <w:szCs w:val="20"/>
        </w:rPr>
      </w:pPr>
    </w:p>
    <w:sectPr w:rsidR="00162E69" w:rsidRPr="003631BD" w:rsidSect="00D50B92">
      <w:headerReference w:type="default" r:id="rId13"/>
      <w:footerReference w:type="default" r:id="rId14"/>
      <w:pgSz w:w="11906" w:h="16838"/>
      <w:pgMar w:top="1417" w:right="1134" w:bottom="1134" w:left="1134" w:header="652"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F67CA" w14:textId="77777777" w:rsidR="00C272F8" w:rsidRDefault="00C272F8" w:rsidP="008C1BCD">
      <w:r>
        <w:separator/>
      </w:r>
    </w:p>
  </w:endnote>
  <w:endnote w:type="continuationSeparator" w:id="0">
    <w:p w14:paraId="670CDFCD" w14:textId="77777777" w:rsidR="00C272F8" w:rsidRDefault="00C272F8" w:rsidP="008C1BCD">
      <w:r>
        <w:continuationSeparator/>
      </w:r>
    </w:p>
  </w:endnote>
  <w:endnote w:id="1">
    <w:p w14:paraId="13DBE58C" w14:textId="77777777" w:rsidR="0084700D" w:rsidRPr="0084700D" w:rsidRDefault="0084700D" w:rsidP="0084700D">
      <w:pPr>
        <w:tabs>
          <w:tab w:val="left" w:pos="6237"/>
          <w:tab w:val="left" w:pos="6804"/>
        </w:tabs>
        <w:jc w:val="both"/>
        <w:rPr>
          <w:rFonts w:ascii="Manrope" w:hAnsi="Manrope"/>
          <w:sz w:val="16"/>
          <w:szCs w:val="16"/>
          <w:u w:val="single"/>
        </w:rPr>
      </w:pPr>
      <w:r w:rsidRPr="00EC542F">
        <w:rPr>
          <w:rStyle w:val="Rimandonotadichiusura"/>
          <w:rFonts w:ascii="Manrope" w:hAnsi="Manrope"/>
        </w:rPr>
        <w:endnoteRef/>
      </w:r>
      <w:r>
        <w:t xml:space="preserve"> </w:t>
      </w:r>
      <w:hyperlink r:id="rId1" w:history="1">
        <w:r w:rsidRPr="0084700D">
          <w:rPr>
            <w:rStyle w:val="Collegamentoipertestuale"/>
            <w:rFonts w:ascii="Manrope" w:hAnsi="Manrope"/>
            <w:sz w:val="16"/>
            <w:szCs w:val="16"/>
          </w:rPr>
          <w:t>Art. 16 “Conflitto di interessi” D.lgs 36/2023</w:t>
        </w:r>
      </w:hyperlink>
    </w:p>
    <w:p w14:paraId="7601F74F" w14:textId="77777777" w:rsidR="0084700D" w:rsidRPr="0084700D" w:rsidRDefault="0084700D" w:rsidP="0084700D">
      <w:pPr>
        <w:tabs>
          <w:tab w:val="left" w:pos="6237"/>
          <w:tab w:val="left" w:pos="6804"/>
        </w:tabs>
        <w:jc w:val="both"/>
        <w:rPr>
          <w:rFonts w:ascii="Manrope" w:hAnsi="Manrope"/>
          <w:i/>
          <w:iCs/>
          <w:sz w:val="16"/>
          <w:szCs w:val="16"/>
        </w:rPr>
      </w:pPr>
      <w:r w:rsidRPr="0084700D">
        <w:rPr>
          <w:rFonts w:ascii="Manrope" w:hAnsi="Manrope"/>
          <w:i/>
          <w:iCs/>
          <w:sz w:val="16"/>
          <w:szCs w:val="16"/>
        </w:rPr>
        <w:t>1. Si ha conflitto di interessi quando un soggetto che, a qualsiasi titolo, interviene con compiti funzionali nella procedura di aggiudicazione o nella fase di esecuzione degli appalti o delle concessioni e ne può influenzare, in qualsiasi modo, il risultato, gli esiti e la gestione, ha direttamente o indirettamente un interesse finanziario, economico o altro interesse personale che può essere percepito come una minaccia concreta ed effettiva alla sua imparzialità e indipendenza nel contesto della procedura di aggiudicazione o nella fase di esecuzione.</w:t>
      </w:r>
    </w:p>
    <w:p w14:paraId="44798E88" w14:textId="77777777" w:rsidR="0084700D" w:rsidRPr="0084700D" w:rsidRDefault="0084700D" w:rsidP="0084700D">
      <w:pPr>
        <w:tabs>
          <w:tab w:val="left" w:pos="6237"/>
          <w:tab w:val="left" w:pos="6804"/>
        </w:tabs>
        <w:jc w:val="both"/>
        <w:rPr>
          <w:rFonts w:ascii="Manrope" w:hAnsi="Manrope"/>
          <w:i/>
          <w:iCs/>
          <w:sz w:val="16"/>
          <w:szCs w:val="16"/>
        </w:rPr>
      </w:pPr>
      <w:r w:rsidRPr="0084700D">
        <w:rPr>
          <w:rFonts w:ascii="Manrope" w:hAnsi="Manrope"/>
          <w:i/>
          <w:iCs/>
          <w:sz w:val="16"/>
          <w:szCs w:val="16"/>
        </w:rPr>
        <w:t>2. In coerenza con il principio della fiducia e per preservare la funzionalità dell’azione amministrativa, la percepita minaccia all’imparzialità e indipendenza deve essere provata da chi invoca il conflitto sulla base di presupposti specifici e documentati e deve riferirsi a interessi effettivi, la cui soddisfazione sia conseguibile solo subordinando un interesse all’altro.</w:t>
      </w:r>
    </w:p>
    <w:p w14:paraId="065DC290" w14:textId="77777777" w:rsidR="0084700D" w:rsidRPr="0084700D" w:rsidRDefault="0084700D" w:rsidP="0084700D">
      <w:pPr>
        <w:tabs>
          <w:tab w:val="left" w:pos="6237"/>
          <w:tab w:val="left" w:pos="6804"/>
        </w:tabs>
        <w:jc w:val="both"/>
        <w:rPr>
          <w:rFonts w:ascii="Manrope" w:hAnsi="Manrope"/>
          <w:i/>
          <w:iCs/>
          <w:sz w:val="16"/>
          <w:szCs w:val="16"/>
        </w:rPr>
      </w:pPr>
      <w:r w:rsidRPr="0084700D">
        <w:rPr>
          <w:rFonts w:ascii="Manrope" w:hAnsi="Manrope"/>
          <w:i/>
          <w:iCs/>
          <w:sz w:val="16"/>
          <w:szCs w:val="16"/>
        </w:rPr>
        <w:t>3. Il personale che versa nelle ipotesi di cui al comma 1 ne dà comunicazione alla stazione appaltante o all’ente concedente e si astiene dal partecipare alla procedura di aggiudicazione e all’esecuzione.</w:t>
      </w:r>
    </w:p>
    <w:p w14:paraId="55FDC8E8" w14:textId="77777777" w:rsidR="0084700D" w:rsidRPr="0084700D" w:rsidRDefault="0084700D" w:rsidP="0084700D">
      <w:pPr>
        <w:tabs>
          <w:tab w:val="left" w:pos="6237"/>
          <w:tab w:val="left" w:pos="6804"/>
        </w:tabs>
        <w:jc w:val="both"/>
        <w:rPr>
          <w:rFonts w:ascii="Manrope" w:hAnsi="Manrope"/>
          <w:i/>
          <w:iCs/>
          <w:sz w:val="16"/>
          <w:szCs w:val="16"/>
        </w:rPr>
      </w:pPr>
      <w:r w:rsidRPr="0084700D">
        <w:rPr>
          <w:rFonts w:ascii="Manrope" w:hAnsi="Manrope"/>
          <w:i/>
          <w:iCs/>
          <w:sz w:val="16"/>
          <w:szCs w:val="16"/>
        </w:rPr>
        <w:t>4. Le stazioni appaltanti adottano misure adeguate per individuare, prevenire e risolvere in modo efficace ogni ipotesi di conflitto di interesse nello svolgimento delle procedure di aggiudicazione ed esecuzione degli appalti e delle concessioni e vigilano affinché gli adempimenti di cui al comma 3 siano rispettati.</w:t>
      </w:r>
    </w:p>
    <w:p w14:paraId="041147C6" w14:textId="298942CA" w:rsidR="0084700D" w:rsidRPr="0084700D" w:rsidRDefault="00C23BC8" w:rsidP="0084700D">
      <w:pPr>
        <w:tabs>
          <w:tab w:val="left" w:pos="6237"/>
          <w:tab w:val="left" w:pos="6804"/>
        </w:tabs>
        <w:jc w:val="both"/>
        <w:rPr>
          <w:rFonts w:ascii="Manrope" w:hAnsi="Manrope"/>
          <w:sz w:val="16"/>
          <w:szCs w:val="16"/>
          <w:u w:val="single"/>
        </w:rPr>
      </w:pPr>
      <w:hyperlink r:id="rId2" w:history="1">
        <w:r w:rsidR="0084700D" w:rsidRPr="0084700D">
          <w:rPr>
            <w:rStyle w:val="Collegamentoipertestuale"/>
            <w:rFonts w:ascii="Manrope" w:hAnsi="Manrope"/>
            <w:sz w:val="16"/>
            <w:szCs w:val="16"/>
          </w:rPr>
          <w:t xml:space="preserve">Art. 93 </w:t>
        </w:r>
        <w:r w:rsidR="00485A5A">
          <w:rPr>
            <w:rStyle w:val="Collegamentoipertestuale"/>
            <w:rFonts w:ascii="Manrope" w:hAnsi="Manrope"/>
            <w:sz w:val="16"/>
            <w:szCs w:val="16"/>
          </w:rPr>
          <w:t>co.</w:t>
        </w:r>
        <w:r w:rsidR="0084700D" w:rsidRPr="0084700D">
          <w:rPr>
            <w:rStyle w:val="Collegamentoipertestuale"/>
            <w:rFonts w:ascii="Manrope" w:hAnsi="Manrope"/>
            <w:sz w:val="16"/>
            <w:szCs w:val="16"/>
          </w:rPr>
          <w:t xml:space="preserve"> 5 D.lgs 36/2023 “Commissione giudicatrice”</w:t>
        </w:r>
      </w:hyperlink>
    </w:p>
    <w:p w14:paraId="25FB2217" w14:textId="77777777" w:rsidR="0084700D" w:rsidRPr="0084700D" w:rsidRDefault="0084700D" w:rsidP="0084700D">
      <w:pPr>
        <w:tabs>
          <w:tab w:val="left" w:pos="6237"/>
          <w:tab w:val="left" w:pos="6804"/>
        </w:tabs>
        <w:jc w:val="both"/>
        <w:rPr>
          <w:rFonts w:ascii="Manrope" w:hAnsi="Manrope"/>
          <w:i/>
          <w:iCs/>
          <w:sz w:val="16"/>
          <w:szCs w:val="16"/>
        </w:rPr>
      </w:pPr>
      <w:r w:rsidRPr="0084700D">
        <w:rPr>
          <w:rFonts w:ascii="Manrope" w:hAnsi="Manrope"/>
          <w:i/>
          <w:iCs/>
          <w:sz w:val="16"/>
          <w:szCs w:val="16"/>
        </w:rPr>
        <w:t>Non possono essere nominati commissari:</w:t>
      </w:r>
    </w:p>
    <w:p w14:paraId="2E5797CF" w14:textId="77777777" w:rsidR="0084700D" w:rsidRPr="0084700D" w:rsidRDefault="0084700D" w:rsidP="0084700D">
      <w:pPr>
        <w:pStyle w:val="Paragrafoelenco"/>
        <w:numPr>
          <w:ilvl w:val="0"/>
          <w:numId w:val="4"/>
        </w:numPr>
        <w:tabs>
          <w:tab w:val="left" w:pos="6237"/>
          <w:tab w:val="left" w:pos="6804"/>
        </w:tabs>
        <w:jc w:val="both"/>
        <w:rPr>
          <w:rFonts w:ascii="Manrope" w:hAnsi="Manrope"/>
          <w:i/>
          <w:iCs/>
          <w:sz w:val="16"/>
          <w:szCs w:val="16"/>
        </w:rPr>
      </w:pPr>
      <w:r w:rsidRPr="0084700D">
        <w:rPr>
          <w:rFonts w:ascii="Manrope" w:hAnsi="Manrope"/>
          <w:i/>
          <w:iCs/>
          <w:sz w:val="16"/>
          <w:szCs w:val="16"/>
        </w:rPr>
        <w:t>coloro che nel biennio precedente all’indizione della procedura di aggiudicazione sono stati componenti di organi di indirizzo politico della stazione appaltante;</w:t>
      </w:r>
    </w:p>
    <w:p w14:paraId="7167B6AA" w14:textId="77777777" w:rsidR="0084700D" w:rsidRPr="0084700D" w:rsidRDefault="0084700D" w:rsidP="0084700D">
      <w:pPr>
        <w:pStyle w:val="Paragrafoelenco"/>
        <w:numPr>
          <w:ilvl w:val="0"/>
          <w:numId w:val="4"/>
        </w:numPr>
        <w:tabs>
          <w:tab w:val="left" w:pos="6237"/>
          <w:tab w:val="left" w:pos="6804"/>
        </w:tabs>
        <w:jc w:val="both"/>
        <w:rPr>
          <w:rFonts w:ascii="Manrope" w:hAnsi="Manrope"/>
          <w:i/>
          <w:iCs/>
          <w:sz w:val="16"/>
          <w:szCs w:val="16"/>
        </w:rPr>
      </w:pPr>
      <w:r w:rsidRPr="0084700D">
        <w:rPr>
          <w:rFonts w:ascii="Manrope" w:hAnsi="Manrope"/>
          <w:i/>
          <w:iCs/>
          <w:sz w:val="16"/>
          <w:szCs w:val="16"/>
        </w:rPr>
        <w:t>coloro che sono stati condannati, anche con sentenza non passata in giudicato, per i reati previsti nel Capo I del Titolo II del Libro II del codice penale;</w:t>
      </w:r>
    </w:p>
    <w:p w14:paraId="32D78920" w14:textId="77777777" w:rsidR="0084700D" w:rsidRPr="0084700D" w:rsidRDefault="0084700D" w:rsidP="0084700D">
      <w:pPr>
        <w:pStyle w:val="Paragrafoelenco"/>
        <w:numPr>
          <w:ilvl w:val="0"/>
          <w:numId w:val="4"/>
        </w:numPr>
        <w:tabs>
          <w:tab w:val="left" w:pos="6237"/>
          <w:tab w:val="left" w:pos="6804"/>
        </w:tabs>
        <w:jc w:val="both"/>
        <w:rPr>
          <w:rFonts w:ascii="Manrope" w:hAnsi="Manrope"/>
          <w:i/>
          <w:iCs/>
          <w:sz w:val="16"/>
          <w:szCs w:val="16"/>
        </w:rPr>
      </w:pPr>
      <w:r w:rsidRPr="0084700D">
        <w:rPr>
          <w:rFonts w:ascii="Manrope" w:hAnsi="Manrope"/>
          <w:i/>
          <w:iCs/>
          <w:sz w:val="16"/>
          <w:szCs w:val="16"/>
        </w:rPr>
        <w:t>coloro che si trovano in una situazione di conflitto di interessi con uno degli operatori economici partecipanti alla procedura; costituiscono situazioni di conflitto di interessi quelle che determinano l'obbligo di astensione previste dall'articolo 7 del regolamento recante il codice di comportamento dei dipendenti pubblici, di cui al decreto del Presidente della Repubblica 16 aprile 2013, n. 62.</w:t>
      </w:r>
    </w:p>
    <w:p w14:paraId="6C1DC525" w14:textId="77777777" w:rsidR="0084700D" w:rsidRDefault="0084700D" w:rsidP="0084700D">
      <w:pPr>
        <w:pStyle w:val="Testonotadichiusura"/>
      </w:pPr>
    </w:p>
  </w:endnote>
  <w:endnote w:id="2">
    <w:p w14:paraId="6C70ECE4" w14:textId="77777777" w:rsidR="0084700D" w:rsidRPr="0084700D" w:rsidRDefault="0084700D" w:rsidP="0084700D">
      <w:pPr>
        <w:tabs>
          <w:tab w:val="left" w:pos="6237"/>
          <w:tab w:val="left" w:pos="6804"/>
        </w:tabs>
        <w:jc w:val="both"/>
        <w:rPr>
          <w:rFonts w:ascii="Manrope" w:hAnsi="Manrope"/>
          <w:sz w:val="16"/>
          <w:szCs w:val="16"/>
          <w:u w:val="single"/>
        </w:rPr>
      </w:pPr>
      <w:r w:rsidRPr="00EC542F">
        <w:rPr>
          <w:rStyle w:val="Rimandonotadichiusura"/>
          <w:rFonts w:ascii="Manrope" w:hAnsi="Manrope"/>
        </w:rPr>
        <w:endnoteRef/>
      </w:r>
      <w:r w:rsidRPr="00EC542F">
        <w:rPr>
          <w:rFonts w:ascii="Manrope" w:hAnsi="Manrope"/>
        </w:rPr>
        <w:t xml:space="preserve"> </w:t>
      </w:r>
      <w:hyperlink r:id="rId3" w:history="1">
        <w:r w:rsidRPr="0084700D">
          <w:rPr>
            <w:rStyle w:val="Collegamentoipertestuale"/>
            <w:rFonts w:ascii="Manrope" w:hAnsi="Manrope"/>
            <w:sz w:val="16"/>
            <w:szCs w:val="16"/>
          </w:rPr>
          <w:t>Art. 7 D.P.R. 62/2013 “Obbligo di astensione”</w:t>
        </w:r>
      </w:hyperlink>
    </w:p>
    <w:p w14:paraId="433CCDB4" w14:textId="77777777" w:rsidR="0084700D" w:rsidRPr="003631BD" w:rsidRDefault="0084700D" w:rsidP="0084700D">
      <w:pPr>
        <w:tabs>
          <w:tab w:val="left" w:pos="6237"/>
          <w:tab w:val="left" w:pos="6804"/>
        </w:tabs>
        <w:jc w:val="both"/>
        <w:rPr>
          <w:rFonts w:ascii="Manrope" w:hAnsi="Manrope"/>
          <w:sz w:val="20"/>
          <w:szCs w:val="20"/>
        </w:rPr>
      </w:pPr>
      <w:r w:rsidRPr="0084700D">
        <w:rPr>
          <w:rFonts w:ascii="Manrope" w:hAnsi="Manrope"/>
          <w:sz w:val="16"/>
          <w:szCs w:val="16"/>
        </w:rPr>
        <w:t>1.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p>
    <w:p w14:paraId="094963CB" w14:textId="0EAC5B5E" w:rsidR="0084700D" w:rsidRDefault="0084700D">
      <w:pPr>
        <w:pStyle w:val="Testonotadichiusura"/>
      </w:pPr>
    </w:p>
  </w:endnote>
  <w:endnote w:id="3">
    <w:p w14:paraId="34D174AB" w14:textId="7FA62075" w:rsidR="00EE4277" w:rsidRPr="00EE4277" w:rsidRDefault="00EE4277" w:rsidP="00EE4277">
      <w:pPr>
        <w:tabs>
          <w:tab w:val="left" w:pos="6237"/>
          <w:tab w:val="left" w:pos="6804"/>
        </w:tabs>
        <w:jc w:val="both"/>
        <w:rPr>
          <w:rFonts w:ascii="Manrope" w:hAnsi="Manrope"/>
          <w:sz w:val="16"/>
          <w:szCs w:val="16"/>
          <w:u w:val="single"/>
        </w:rPr>
      </w:pPr>
      <w:r w:rsidRPr="00EC542F">
        <w:rPr>
          <w:rStyle w:val="Rimandonotadichiusura"/>
          <w:rFonts w:ascii="Manrope" w:hAnsi="Manrope"/>
        </w:rPr>
        <w:endnoteRef/>
      </w:r>
      <w:r>
        <w:t xml:space="preserve"> </w:t>
      </w:r>
      <w:r w:rsidR="005F60AA" w:rsidRPr="005F60AA">
        <w:rPr>
          <w:rStyle w:val="Collegamentoipertestuale"/>
          <w:rFonts w:ascii="Manrope" w:hAnsi="Manrope"/>
          <w:sz w:val="16"/>
          <w:szCs w:val="16"/>
        </w:rPr>
        <w:t xml:space="preserve">Art. 4 </w:t>
      </w:r>
      <w:hyperlink r:id="rId4" w:history="1">
        <w:r w:rsidRPr="00EE4277">
          <w:rPr>
            <w:rStyle w:val="Collegamentoipertestuale"/>
            <w:rFonts w:ascii="Manrope" w:hAnsi="Manrope"/>
            <w:sz w:val="16"/>
            <w:szCs w:val="16"/>
          </w:rPr>
          <w:t xml:space="preserve">Regolamento per la definizione dei criteri e delle modalità di nomina delle Commissioni giudicatrici per l’assegnazione di contratti di appalto e concessione nonché di provvedimenti attributivi di vantaggi economici </w:t>
        </w:r>
      </w:hyperlink>
    </w:p>
    <w:p w14:paraId="6275A0E1" w14:textId="1C3A650F" w:rsidR="00EE4277" w:rsidRPr="00EE4277" w:rsidRDefault="00EE4277" w:rsidP="00EE4277">
      <w:pPr>
        <w:tabs>
          <w:tab w:val="left" w:pos="6237"/>
          <w:tab w:val="left" w:pos="6804"/>
        </w:tabs>
        <w:jc w:val="both"/>
        <w:rPr>
          <w:rFonts w:ascii="Manrope" w:hAnsi="Manrope"/>
          <w:i/>
          <w:iCs/>
          <w:sz w:val="16"/>
          <w:szCs w:val="16"/>
        </w:rPr>
      </w:pPr>
      <w:r>
        <w:rPr>
          <w:rFonts w:ascii="Manrope" w:hAnsi="Manrope"/>
          <w:i/>
          <w:iCs/>
          <w:sz w:val="16"/>
          <w:szCs w:val="16"/>
        </w:rPr>
        <w:t>“</w:t>
      </w:r>
      <w:r w:rsidRPr="00EE4277">
        <w:rPr>
          <w:rFonts w:ascii="Manrope" w:hAnsi="Manrope"/>
          <w:i/>
          <w:iCs/>
          <w:sz w:val="16"/>
          <w:szCs w:val="16"/>
        </w:rPr>
        <w:t xml:space="preserve">1) Non possono far parte delle Commissioni Giudicatrici: </w:t>
      </w:r>
    </w:p>
    <w:p w14:paraId="55A9D2FF" w14:textId="77777777" w:rsidR="00EE4277" w:rsidRPr="00EE4277" w:rsidRDefault="00EE4277" w:rsidP="00EE4277">
      <w:pPr>
        <w:tabs>
          <w:tab w:val="left" w:pos="6237"/>
          <w:tab w:val="left" w:pos="6804"/>
        </w:tabs>
        <w:jc w:val="both"/>
        <w:rPr>
          <w:rFonts w:ascii="Manrope" w:hAnsi="Manrope"/>
          <w:i/>
          <w:iCs/>
          <w:sz w:val="16"/>
          <w:szCs w:val="16"/>
        </w:rPr>
      </w:pPr>
      <w:r w:rsidRPr="00EE4277">
        <w:rPr>
          <w:rFonts w:ascii="Manrope" w:hAnsi="Manrope"/>
          <w:i/>
          <w:iCs/>
          <w:sz w:val="16"/>
          <w:szCs w:val="16"/>
        </w:rPr>
        <w:t xml:space="preserve">a) coloro per i quali sussistono cause di incompatibilità o conflitto di interesse, rapporto di coniugio, di parentela o di affinità sino al quarto grado compreso con i titolari, gli amministratori, i soci e i dipendenti delle ditte partecipanti alla procedura; </w:t>
      </w:r>
    </w:p>
    <w:p w14:paraId="6F1052C1" w14:textId="77777777" w:rsidR="00EE4277" w:rsidRPr="00EE4277" w:rsidRDefault="00EE4277" w:rsidP="00EE4277">
      <w:pPr>
        <w:tabs>
          <w:tab w:val="left" w:pos="6237"/>
          <w:tab w:val="left" w:pos="6804"/>
        </w:tabs>
        <w:jc w:val="both"/>
        <w:rPr>
          <w:rFonts w:ascii="Manrope" w:hAnsi="Manrope"/>
          <w:i/>
          <w:iCs/>
          <w:sz w:val="16"/>
          <w:szCs w:val="16"/>
        </w:rPr>
      </w:pPr>
      <w:r w:rsidRPr="00EE4277">
        <w:rPr>
          <w:rFonts w:ascii="Manrope" w:hAnsi="Manrope"/>
          <w:i/>
          <w:iCs/>
          <w:sz w:val="16"/>
          <w:szCs w:val="16"/>
        </w:rPr>
        <w:t xml:space="preserve">b) coloro i quali sono stati condannati, anche con sentenza non passata in giudicato, per i reati previsti nel capo I del titolo II del libro secondo del codice penale; </w:t>
      </w:r>
    </w:p>
    <w:p w14:paraId="6043B950" w14:textId="77777777" w:rsidR="00EE4277" w:rsidRPr="00EE4277" w:rsidRDefault="00EE4277" w:rsidP="00EE4277">
      <w:pPr>
        <w:tabs>
          <w:tab w:val="left" w:pos="6237"/>
          <w:tab w:val="left" w:pos="6804"/>
        </w:tabs>
        <w:jc w:val="both"/>
        <w:rPr>
          <w:rFonts w:ascii="Manrope" w:hAnsi="Manrope"/>
          <w:i/>
          <w:iCs/>
          <w:sz w:val="16"/>
          <w:szCs w:val="16"/>
        </w:rPr>
      </w:pPr>
      <w:r w:rsidRPr="00EE4277">
        <w:rPr>
          <w:rFonts w:ascii="Manrope" w:hAnsi="Manrope"/>
          <w:i/>
          <w:iCs/>
          <w:sz w:val="16"/>
          <w:szCs w:val="16"/>
        </w:rPr>
        <w:t xml:space="preserve">c) coloro i quali nel biennio precedente alla data della determina a contrarre per la gara hanno rivestito cariche di pubblico amministratore, non possono essere nominati commissari relativamente a contratti affidati dalle amministrazioni presso le quali hanno prestato servizio; </w:t>
      </w:r>
    </w:p>
    <w:p w14:paraId="21290E00" w14:textId="77777777" w:rsidR="00EE4277" w:rsidRPr="00EE4277" w:rsidRDefault="00EE4277" w:rsidP="00EE4277">
      <w:pPr>
        <w:tabs>
          <w:tab w:val="left" w:pos="6237"/>
          <w:tab w:val="left" w:pos="6804"/>
        </w:tabs>
        <w:jc w:val="both"/>
        <w:rPr>
          <w:rFonts w:ascii="Manrope" w:hAnsi="Manrope"/>
          <w:i/>
          <w:iCs/>
          <w:sz w:val="16"/>
          <w:szCs w:val="16"/>
        </w:rPr>
      </w:pPr>
      <w:r w:rsidRPr="00EE4277">
        <w:rPr>
          <w:rFonts w:ascii="Manrope" w:hAnsi="Manrope"/>
          <w:i/>
          <w:iCs/>
          <w:sz w:val="16"/>
          <w:szCs w:val="16"/>
        </w:rPr>
        <w:t xml:space="preserve">d) coloro i quali si trovano nelle cause di astensione previste dall’articolo 51 del codice di procedura civile; </w:t>
      </w:r>
    </w:p>
    <w:p w14:paraId="3F0AEAF8" w14:textId="77777777" w:rsidR="00EE4277" w:rsidRPr="00EE4277" w:rsidRDefault="00EE4277" w:rsidP="00EE4277">
      <w:pPr>
        <w:tabs>
          <w:tab w:val="left" w:pos="6237"/>
          <w:tab w:val="left" w:pos="6804"/>
        </w:tabs>
        <w:jc w:val="both"/>
        <w:rPr>
          <w:rFonts w:ascii="Manrope" w:hAnsi="Manrope"/>
          <w:i/>
          <w:iCs/>
          <w:sz w:val="16"/>
          <w:szCs w:val="16"/>
        </w:rPr>
      </w:pPr>
      <w:r w:rsidRPr="00EE4277">
        <w:rPr>
          <w:rFonts w:ascii="Manrope" w:hAnsi="Manrope"/>
          <w:i/>
          <w:iCs/>
          <w:sz w:val="16"/>
          <w:szCs w:val="16"/>
        </w:rPr>
        <w:t>e) coloro i quali hanno interesse di qualsiasi genere rispetto ad una delle imprese partecipanti o se egli stesso o il coniuge è parente fino al quarto grado o legato da vincoli di affiliazione, o è convivente o commensale abituale di amministratori, procuratori o dirigenti di una delle imprese partecipanti;</w:t>
      </w:r>
    </w:p>
    <w:p w14:paraId="20E50530" w14:textId="77777777" w:rsidR="00EE4277" w:rsidRPr="00EE4277" w:rsidRDefault="00EE4277" w:rsidP="00EE4277">
      <w:pPr>
        <w:tabs>
          <w:tab w:val="left" w:pos="6237"/>
          <w:tab w:val="left" w:pos="6804"/>
        </w:tabs>
        <w:jc w:val="both"/>
        <w:rPr>
          <w:rFonts w:ascii="Manrope" w:hAnsi="Manrope"/>
          <w:i/>
          <w:iCs/>
          <w:sz w:val="16"/>
          <w:szCs w:val="16"/>
        </w:rPr>
      </w:pPr>
      <w:r w:rsidRPr="00EE4277">
        <w:rPr>
          <w:rFonts w:ascii="Manrope" w:hAnsi="Manrope"/>
          <w:i/>
          <w:iCs/>
          <w:sz w:val="16"/>
          <w:szCs w:val="16"/>
        </w:rPr>
        <w:t xml:space="preserve">f) coloro i quali hanno causa pendente o grave inimicizia o rapporti di credito o debito con una delle imprese partecipanti o i suoi amministratori, procuratori o dirigenti; </w:t>
      </w:r>
    </w:p>
    <w:p w14:paraId="0D04B4CB" w14:textId="77777777" w:rsidR="00EE4277" w:rsidRPr="00EE4277" w:rsidRDefault="00EE4277" w:rsidP="00EE4277">
      <w:pPr>
        <w:tabs>
          <w:tab w:val="left" w:pos="6237"/>
          <w:tab w:val="left" w:pos="6804"/>
        </w:tabs>
        <w:jc w:val="both"/>
        <w:rPr>
          <w:rFonts w:ascii="Manrope" w:hAnsi="Manrope"/>
          <w:i/>
          <w:iCs/>
          <w:sz w:val="16"/>
          <w:szCs w:val="16"/>
        </w:rPr>
      </w:pPr>
      <w:r w:rsidRPr="00EE4277">
        <w:rPr>
          <w:rFonts w:ascii="Manrope" w:hAnsi="Manrope"/>
          <w:i/>
          <w:iCs/>
          <w:sz w:val="16"/>
          <w:szCs w:val="16"/>
        </w:rPr>
        <w:t xml:space="preserve">g) coloro i quali hanno prestato attività lavorativa o di consulenza presso una delle imprese partecipanti nel triennio precedente alla data della determina a contrarre. Tale divieto si estende anche a coloro che abbiano effettivamente preso parte a contratti e convenzioni per </w:t>
      </w:r>
    </w:p>
    <w:p w14:paraId="089885A0" w14:textId="77777777" w:rsidR="00EE4277" w:rsidRPr="00EE4277" w:rsidRDefault="00EE4277" w:rsidP="00EE4277">
      <w:pPr>
        <w:tabs>
          <w:tab w:val="left" w:pos="6237"/>
          <w:tab w:val="left" w:pos="6804"/>
        </w:tabs>
        <w:jc w:val="both"/>
        <w:rPr>
          <w:rFonts w:ascii="Manrope" w:hAnsi="Manrope"/>
          <w:i/>
          <w:iCs/>
          <w:sz w:val="16"/>
          <w:szCs w:val="16"/>
        </w:rPr>
      </w:pPr>
      <w:r w:rsidRPr="00EE4277">
        <w:rPr>
          <w:rFonts w:ascii="Manrope" w:hAnsi="Manrope"/>
          <w:i/>
          <w:iCs/>
          <w:sz w:val="16"/>
          <w:szCs w:val="16"/>
        </w:rPr>
        <w:t>prestazioni in collaborazione e per conto terzi, stipulati con l’Ateneo da imprese partecipanti.</w:t>
      </w:r>
    </w:p>
    <w:p w14:paraId="5E4AEF3D" w14:textId="77777777" w:rsidR="00EE4277" w:rsidRPr="00EE4277" w:rsidRDefault="00EE4277" w:rsidP="00EE4277">
      <w:pPr>
        <w:tabs>
          <w:tab w:val="left" w:pos="6237"/>
          <w:tab w:val="left" w:pos="6804"/>
        </w:tabs>
        <w:jc w:val="both"/>
        <w:rPr>
          <w:rFonts w:ascii="Manrope" w:hAnsi="Manrope"/>
          <w:i/>
          <w:iCs/>
          <w:sz w:val="16"/>
          <w:szCs w:val="16"/>
        </w:rPr>
      </w:pPr>
      <w:r w:rsidRPr="00EE4277">
        <w:rPr>
          <w:rFonts w:ascii="Manrope" w:hAnsi="Manrope"/>
          <w:i/>
          <w:iCs/>
          <w:sz w:val="16"/>
          <w:szCs w:val="16"/>
        </w:rPr>
        <w:t>2) Non possono altresì far parte delle Commissioni il personale docente ed il personale tecnico-amministrativo che fanno parte, anche come uditori, del Senato accademico o del Consiglio di amministrazione.</w:t>
      </w:r>
    </w:p>
    <w:p w14:paraId="7BC8E620" w14:textId="77777777" w:rsidR="00EE4277" w:rsidRPr="00EE4277" w:rsidRDefault="00EE4277" w:rsidP="00EE4277">
      <w:pPr>
        <w:tabs>
          <w:tab w:val="left" w:pos="6237"/>
          <w:tab w:val="left" w:pos="6804"/>
        </w:tabs>
        <w:jc w:val="both"/>
        <w:rPr>
          <w:rFonts w:ascii="Manrope" w:hAnsi="Manrope"/>
          <w:i/>
          <w:iCs/>
          <w:sz w:val="16"/>
          <w:szCs w:val="16"/>
        </w:rPr>
      </w:pPr>
      <w:r w:rsidRPr="00EE4277">
        <w:rPr>
          <w:rFonts w:ascii="Manrope" w:hAnsi="Manrope"/>
          <w:i/>
          <w:iCs/>
          <w:sz w:val="16"/>
          <w:szCs w:val="16"/>
        </w:rPr>
        <w:t>3) Non possono comunque assumere le funzioni di commissario o di segretario verbalizzante:</w:t>
      </w:r>
    </w:p>
    <w:p w14:paraId="65315A33" w14:textId="77777777" w:rsidR="00EE4277" w:rsidRPr="00EE4277" w:rsidRDefault="00EE4277" w:rsidP="00EE4277">
      <w:pPr>
        <w:tabs>
          <w:tab w:val="left" w:pos="6237"/>
          <w:tab w:val="left" w:pos="6804"/>
        </w:tabs>
        <w:jc w:val="both"/>
        <w:rPr>
          <w:rFonts w:ascii="Manrope" w:hAnsi="Manrope"/>
          <w:i/>
          <w:iCs/>
          <w:sz w:val="16"/>
          <w:szCs w:val="16"/>
        </w:rPr>
      </w:pPr>
      <w:r w:rsidRPr="00EE4277">
        <w:rPr>
          <w:rFonts w:ascii="Manrope" w:hAnsi="Manrope"/>
          <w:i/>
          <w:iCs/>
          <w:sz w:val="16"/>
          <w:szCs w:val="16"/>
        </w:rPr>
        <w:t>a) il Direttore dell’Esecuzione del Contratto;</w:t>
      </w:r>
    </w:p>
    <w:p w14:paraId="315E4B0B" w14:textId="77777777" w:rsidR="00EE4277" w:rsidRPr="00EE4277" w:rsidRDefault="00EE4277" w:rsidP="00EE4277">
      <w:pPr>
        <w:tabs>
          <w:tab w:val="left" w:pos="6237"/>
          <w:tab w:val="left" w:pos="6804"/>
        </w:tabs>
        <w:jc w:val="both"/>
        <w:rPr>
          <w:rFonts w:ascii="Manrope" w:hAnsi="Manrope"/>
          <w:i/>
          <w:iCs/>
          <w:sz w:val="16"/>
          <w:szCs w:val="16"/>
        </w:rPr>
      </w:pPr>
      <w:r w:rsidRPr="00EE4277">
        <w:rPr>
          <w:rFonts w:ascii="Manrope" w:hAnsi="Manrope"/>
          <w:i/>
          <w:iCs/>
          <w:sz w:val="16"/>
          <w:szCs w:val="16"/>
        </w:rPr>
        <w:t xml:space="preserve">b) i Dirigenti, i Direttori di Dipartimento, i Prorettori di Polo, e i Responsabili Gestionali, relativamente alle procedure proposte o di interesse della propria struttura di afferenza; </w:t>
      </w:r>
    </w:p>
    <w:p w14:paraId="0971A9C9" w14:textId="77777777" w:rsidR="00EE4277" w:rsidRPr="00EE4277" w:rsidRDefault="00EE4277" w:rsidP="00EE4277">
      <w:pPr>
        <w:tabs>
          <w:tab w:val="left" w:pos="6237"/>
          <w:tab w:val="left" w:pos="6804"/>
        </w:tabs>
        <w:jc w:val="both"/>
        <w:rPr>
          <w:rFonts w:ascii="Manrope" w:hAnsi="Manrope"/>
          <w:i/>
          <w:iCs/>
          <w:sz w:val="16"/>
          <w:szCs w:val="16"/>
        </w:rPr>
      </w:pPr>
      <w:r w:rsidRPr="00EE4277">
        <w:rPr>
          <w:rFonts w:ascii="Manrope" w:hAnsi="Manrope"/>
          <w:i/>
          <w:iCs/>
          <w:sz w:val="16"/>
          <w:szCs w:val="16"/>
        </w:rPr>
        <w:t xml:space="preserve">c) i Capi Servizio relativamente alle procedure proposte o di interesse del proprio Servizio; </w:t>
      </w:r>
    </w:p>
    <w:p w14:paraId="688B2DC1" w14:textId="77777777" w:rsidR="00EE4277" w:rsidRPr="00EE4277" w:rsidRDefault="00EE4277" w:rsidP="00EE4277">
      <w:pPr>
        <w:tabs>
          <w:tab w:val="left" w:pos="6237"/>
          <w:tab w:val="left" w:pos="6804"/>
        </w:tabs>
        <w:jc w:val="both"/>
        <w:rPr>
          <w:rFonts w:ascii="Manrope" w:hAnsi="Manrope"/>
          <w:i/>
          <w:iCs/>
          <w:sz w:val="16"/>
          <w:szCs w:val="16"/>
        </w:rPr>
      </w:pPr>
      <w:r w:rsidRPr="00EE4277">
        <w:rPr>
          <w:rFonts w:ascii="Manrope" w:hAnsi="Manrope"/>
          <w:i/>
          <w:iCs/>
          <w:sz w:val="16"/>
          <w:szCs w:val="16"/>
        </w:rPr>
        <w:t>d) il Dirigente dell’Area e il Capo del Servizio, con il relativo personale ivi afferente, deputati per determina del Direttore Generale, allo svolgimento delle procedure amministrative relative a gare d’appalto e lavori e di acquisizione di beni e servizi;</w:t>
      </w:r>
    </w:p>
    <w:p w14:paraId="3E67259F" w14:textId="6FE856C8" w:rsidR="00EE4277" w:rsidRPr="00EE4277" w:rsidRDefault="00EE4277" w:rsidP="00EE4277">
      <w:pPr>
        <w:tabs>
          <w:tab w:val="left" w:pos="6237"/>
          <w:tab w:val="left" w:pos="6804"/>
        </w:tabs>
        <w:jc w:val="both"/>
        <w:rPr>
          <w:rFonts w:ascii="Manrope" w:hAnsi="Manrope"/>
          <w:i/>
          <w:iCs/>
          <w:sz w:val="16"/>
          <w:szCs w:val="16"/>
        </w:rPr>
      </w:pPr>
      <w:r w:rsidRPr="00EE4277">
        <w:rPr>
          <w:rFonts w:ascii="Manrope" w:hAnsi="Manrope"/>
          <w:i/>
          <w:iCs/>
          <w:sz w:val="16"/>
          <w:szCs w:val="16"/>
        </w:rPr>
        <w:t>4) Il personale afferente all’Area dirigenziale che, per determinazione del Direttore Generale, è deputato allo svolgimento delle procedure amministrative relative a gare d’appalto e lavori e di acquisizione di beni e servizi nonché il personale che compone la segreteria tecnica del Responsabile della prevenzione della corruzione e della trasparenza dell’Ateneo, non può essere componente della Commissione di gara ma può svolgere le funzioni di Segretario verbalizzante.</w:t>
      </w:r>
      <w:r>
        <w:rPr>
          <w:rFonts w:ascii="Manrope" w:hAnsi="Manrope"/>
          <w:i/>
          <w:iCs/>
          <w:sz w:val="16"/>
          <w:szCs w:val="16"/>
        </w:rPr>
        <w:t>”</w:t>
      </w:r>
    </w:p>
    <w:p w14:paraId="26DEFA61" w14:textId="161B1CCE" w:rsidR="00EE4277" w:rsidRDefault="00EE4277">
      <w:pPr>
        <w:pStyle w:val="Testonotadichiusura"/>
      </w:pPr>
    </w:p>
  </w:endnote>
  <w:endnote w:id="4">
    <w:p w14:paraId="6A5FD78D" w14:textId="6016903B" w:rsidR="00692A5F" w:rsidRPr="00692A5F" w:rsidRDefault="00692A5F" w:rsidP="00692A5F">
      <w:pPr>
        <w:tabs>
          <w:tab w:val="left" w:pos="6237"/>
          <w:tab w:val="left" w:pos="6804"/>
        </w:tabs>
        <w:jc w:val="both"/>
        <w:rPr>
          <w:rFonts w:ascii="Manrope" w:hAnsi="Manrope"/>
          <w:sz w:val="16"/>
          <w:szCs w:val="16"/>
          <w:u w:val="single"/>
        </w:rPr>
      </w:pPr>
      <w:r w:rsidRPr="00EC542F">
        <w:rPr>
          <w:rStyle w:val="Rimandonotadichiusura"/>
          <w:rFonts w:ascii="Manrope" w:hAnsi="Manrope"/>
        </w:rPr>
        <w:endnoteRef/>
      </w:r>
      <w:r w:rsidRPr="00EC542F">
        <w:rPr>
          <w:rFonts w:ascii="Manrope" w:hAnsi="Manrope"/>
        </w:rPr>
        <w:t xml:space="preserve"> </w:t>
      </w:r>
      <w:hyperlink r:id="rId5" w:history="1">
        <w:r w:rsidRPr="00692A5F">
          <w:rPr>
            <w:rStyle w:val="Collegamentoipertestuale"/>
            <w:rFonts w:ascii="Manrope" w:hAnsi="Manrope"/>
            <w:sz w:val="16"/>
            <w:szCs w:val="16"/>
          </w:rPr>
          <w:t xml:space="preserve">Art. 51 </w:t>
        </w:r>
        <w:r w:rsidR="00B87D6A">
          <w:rPr>
            <w:rStyle w:val="Collegamentoipertestuale"/>
            <w:rFonts w:ascii="Manrope" w:hAnsi="Manrope"/>
            <w:sz w:val="16"/>
            <w:szCs w:val="16"/>
          </w:rPr>
          <w:t>c.p.c</w:t>
        </w:r>
      </w:hyperlink>
      <w:r w:rsidR="00B87D6A">
        <w:rPr>
          <w:rStyle w:val="Collegamentoipertestuale"/>
          <w:rFonts w:ascii="Manrope" w:hAnsi="Manrope"/>
          <w:sz w:val="16"/>
          <w:szCs w:val="16"/>
        </w:rPr>
        <w:t xml:space="preserve"> </w:t>
      </w:r>
      <w:r w:rsidR="00B87D6A" w:rsidRPr="00B87D6A">
        <w:rPr>
          <w:rStyle w:val="Collegamentoipertestuale"/>
          <w:rFonts w:ascii="Manrope" w:hAnsi="Manrope"/>
          <w:sz w:val="16"/>
          <w:szCs w:val="16"/>
        </w:rPr>
        <w:t>“Astensione del giudice”</w:t>
      </w:r>
    </w:p>
    <w:p w14:paraId="79DD3C0C" w14:textId="77777777" w:rsidR="00692A5F" w:rsidRPr="00692A5F" w:rsidRDefault="00692A5F" w:rsidP="00692A5F">
      <w:pPr>
        <w:tabs>
          <w:tab w:val="left" w:pos="6237"/>
          <w:tab w:val="left" w:pos="6804"/>
        </w:tabs>
        <w:jc w:val="both"/>
        <w:rPr>
          <w:rFonts w:ascii="Manrope" w:hAnsi="Manrope"/>
          <w:i/>
          <w:iCs/>
          <w:sz w:val="16"/>
          <w:szCs w:val="16"/>
        </w:rPr>
      </w:pPr>
      <w:r w:rsidRPr="00692A5F">
        <w:rPr>
          <w:rFonts w:ascii="Manrope" w:hAnsi="Manrope"/>
          <w:i/>
          <w:iCs/>
          <w:sz w:val="16"/>
          <w:szCs w:val="16"/>
        </w:rPr>
        <w:t xml:space="preserve">Il giudice ha l'obbligo di astenersi: </w:t>
      </w:r>
    </w:p>
    <w:p w14:paraId="375593EB" w14:textId="77777777" w:rsidR="00692A5F" w:rsidRPr="00692A5F" w:rsidRDefault="00692A5F" w:rsidP="00692A5F">
      <w:pPr>
        <w:tabs>
          <w:tab w:val="left" w:pos="6237"/>
          <w:tab w:val="left" w:pos="6804"/>
        </w:tabs>
        <w:jc w:val="both"/>
        <w:rPr>
          <w:rFonts w:ascii="Manrope" w:hAnsi="Manrope"/>
          <w:i/>
          <w:iCs/>
          <w:sz w:val="16"/>
          <w:szCs w:val="16"/>
        </w:rPr>
      </w:pPr>
      <w:r w:rsidRPr="00692A5F">
        <w:rPr>
          <w:rFonts w:ascii="Manrope" w:hAnsi="Manrope"/>
          <w:i/>
          <w:iCs/>
          <w:sz w:val="16"/>
          <w:szCs w:val="16"/>
        </w:rPr>
        <w:t xml:space="preserve">  1) se ha interesse nella causa o in altra vertente su identica questione di diritto; </w:t>
      </w:r>
    </w:p>
    <w:p w14:paraId="69186613" w14:textId="77777777" w:rsidR="00692A5F" w:rsidRPr="00692A5F" w:rsidRDefault="00692A5F" w:rsidP="00692A5F">
      <w:pPr>
        <w:tabs>
          <w:tab w:val="left" w:pos="6237"/>
          <w:tab w:val="left" w:pos="6804"/>
        </w:tabs>
        <w:jc w:val="both"/>
        <w:rPr>
          <w:rFonts w:ascii="Manrope" w:hAnsi="Manrope"/>
          <w:i/>
          <w:iCs/>
          <w:sz w:val="16"/>
          <w:szCs w:val="16"/>
        </w:rPr>
      </w:pPr>
      <w:r w:rsidRPr="00692A5F">
        <w:rPr>
          <w:rFonts w:ascii="Manrope" w:hAnsi="Manrope"/>
          <w:i/>
          <w:iCs/>
          <w:sz w:val="16"/>
          <w:szCs w:val="16"/>
        </w:rPr>
        <w:t xml:space="preserve">  2) se egli stesso o la moglie è parente fino al quarto grado o legato da vincoli di affiliazione, o è convivente o commensale abituale di una delle parti o di alcuno dei difensori; </w:t>
      </w:r>
    </w:p>
    <w:p w14:paraId="6810E095" w14:textId="77777777" w:rsidR="00692A5F" w:rsidRPr="00692A5F" w:rsidRDefault="00692A5F" w:rsidP="00692A5F">
      <w:pPr>
        <w:tabs>
          <w:tab w:val="left" w:pos="6237"/>
          <w:tab w:val="left" w:pos="6804"/>
        </w:tabs>
        <w:jc w:val="both"/>
        <w:rPr>
          <w:rFonts w:ascii="Manrope" w:hAnsi="Manrope"/>
          <w:i/>
          <w:iCs/>
          <w:sz w:val="16"/>
          <w:szCs w:val="16"/>
        </w:rPr>
      </w:pPr>
      <w:r w:rsidRPr="00692A5F">
        <w:rPr>
          <w:rFonts w:ascii="Manrope" w:hAnsi="Manrope"/>
          <w:i/>
          <w:iCs/>
          <w:sz w:val="16"/>
          <w:szCs w:val="16"/>
        </w:rPr>
        <w:t xml:space="preserve">  3) se egli stesso o la moglie ha causa pendente o grave inimicizia o rapporti di credito o debito con una delle parti o alcuno dei suoi difensori; </w:t>
      </w:r>
    </w:p>
    <w:p w14:paraId="6A84B3BB" w14:textId="77777777" w:rsidR="00692A5F" w:rsidRPr="00692A5F" w:rsidRDefault="00692A5F" w:rsidP="00692A5F">
      <w:pPr>
        <w:tabs>
          <w:tab w:val="left" w:pos="6237"/>
          <w:tab w:val="left" w:pos="6804"/>
        </w:tabs>
        <w:jc w:val="both"/>
        <w:rPr>
          <w:rFonts w:ascii="Manrope" w:hAnsi="Manrope"/>
          <w:i/>
          <w:iCs/>
          <w:sz w:val="16"/>
          <w:szCs w:val="16"/>
        </w:rPr>
      </w:pPr>
      <w:r w:rsidRPr="00692A5F">
        <w:rPr>
          <w:rFonts w:ascii="Manrope" w:hAnsi="Manrope"/>
          <w:i/>
          <w:iCs/>
          <w:sz w:val="16"/>
          <w:szCs w:val="16"/>
        </w:rPr>
        <w:t xml:space="preserve">  4) se ha dato consiglio o prestato patrocinio nella causa, o ha deposto in essa come testimone, oppure ne ha conosciuto come magistrato in altro grado del processo o come arbitro o vi ha prestato assistenza come consulente tecnico; </w:t>
      </w:r>
    </w:p>
    <w:p w14:paraId="3360957D" w14:textId="78250C19" w:rsidR="00692A5F" w:rsidRPr="00692A5F" w:rsidRDefault="00692A5F" w:rsidP="00692A5F">
      <w:pPr>
        <w:tabs>
          <w:tab w:val="left" w:pos="6237"/>
          <w:tab w:val="left" w:pos="6804"/>
        </w:tabs>
        <w:jc w:val="both"/>
        <w:rPr>
          <w:rFonts w:ascii="Manrope" w:hAnsi="Manrope"/>
          <w:i/>
          <w:iCs/>
          <w:sz w:val="16"/>
          <w:szCs w:val="16"/>
        </w:rPr>
      </w:pPr>
      <w:r w:rsidRPr="00692A5F">
        <w:rPr>
          <w:rFonts w:ascii="Manrope" w:hAnsi="Manrope"/>
          <w:i/>
          <w:iCs/>
          <w:sz w:val="16"/>
          <w:szCs w:val="16"/>
        </w:rPr>
        <w:t xml:space="preserve">  5)  se è tutore, curatore </w:t>
      </w:r>
      <w:r w:rsidRPr="00692A5F">
        <w:rPr>
          <w:rFonts w:ascii="Manrope" w:hAnsi="Manrope"/>
          <w:bCs/>
          <w:i/>
          <w:iCs/>
          <w:sz w:val="16"/>
          <w:szCs w:val="16"/>
        </w:rPr>
        <w:t>((amministratore di sostegno))</w:t>
      </w:r>
      <w:r w:rsidRPr="00692A5F">
        <w:rPr>
          <w:rFonts w:ascii="Manrope" w:hAnsi="Manrope"/>
          <w:i/>
          <w:iCs/>
          <w:sz w:val="16"/>
          <w:szCs w:val="16"/>
        </w:rPr>
        <w:t xml:space="preserve">, procuratore, agente o datore di lavoro di una delle parti; se, inoltre, è amministratore o gerente di un ente, di un'associazione anche non riconosciuta, di un comitato, di   una   società   o stabilimento che ha interesse nella causa. </w:t>
      </w:r>
    </w:p>
    <w:p w14:paraId="7355E002" w14:textId="05976106" w:rsidR="00692A5F" w:rsidRPr="00692A5F" w:rsidRDefault="00692A5F" w:rsidP="00692A5F">
      <w:pPr>
        <w:tabs>
          <w:tab w:val="left" w:pos="6237"/>
          <w:tab w:val="left" w:pos="6804"/>
        </w:tabs>
        <w:jc w:val="both"/>
        <w:rPr>
          <w:rFonts w:ascii="Manrope" w:hAnsi="Manrope"/>
          <w:i/>
          <w:iCs/>
          <w:sz w:val="16"/>
          <w:szCs w:val="16"/>
        </w:rPr>
      </w:pPr>
      <w:r w:rsidRPr="00692A5F">
        <w:rPr>
          <w:rFonts w:ascii="Manrope" w:hAnsi="Manrope"/>
          <w:i/>
          <w:iCs/>
          <w:sz w:val="16"/>
          <w:szCs w:val="16"/>
        </w:rPr>
        <w:t xml:space="preserve">In ogni altro caso in cui esistono gravi ragioni di convenienza, il giudice può richiedere al capo dell'ufficio l'autorizzazione ad astenersi; quando l'astensione riguarda il   capo   dell'ufficio, l'autorizzazione è chiesta al capo dell'ufficio superiore. </w:t>
      </w:r>
    </w:p>
    <w:p w14:paraId="46837A08" w14:textId="407FA656" w:rsidR="00692A5F" w:rsidRDefault="00692A5F">
      <w:pPr>
        <w:pStyle w:val="Testonotadichiusura"/>
      </w:pPr>
    </w:p>
  </w:endnote>
  <w:endnote w:id="5">
    <w:p w14:paraId="55DCD717" w14:textId="61CD83EF" w:rsidR="00692A5F" w:rsidRPr="00692A5F" w:rsidRDefault="00692A5F" w:rsidP="00692A5F">
      <w:pPr>
        <w:tabs>
          <w:tab w:val="left" w:pos="0"/>
        </w:tabs>
        <w:jc w:val="both"/>
        <w:rPr>
          <w:rFonts w:ascii="Manrope" w:hAnsi="Manrope"/>
          <w:sz w:val="16"/>
          <w:szCs w:val="16"/>
        </w:rPr>
      </w:pPr>
      <w:r w:rsidRPr="00EC542F">
        <w:rPr>
          <w:rStyle w:val="Rimandonotadichiusura"/>
          <w:rFonts w:ascii="Manrope" w:hAnsi="Manrope"/>
        </w:rPr>
        <w:endnoteRef/>
      </w:r>
      <w:r w:rsidRPr="00692A5F">
        <w:rPr>
          <w:rFonts w:ascii="Manrope" w:hAnsi="Manrope"/>
          <w:sz w:val="16"/>
          <w:szCs w:val="16"/>
        </w:rPr>
        <w:t xml:space="preserve"> </w:t>
      </w:r>
      <w:hyperlink r:id="rId6" w:history="1">
        <w:r w:rsidRPr="00692A5F">
          <w:rPr>
            <w:rStyle w:val="Collegamentoipertestuale"/>
            <w:rFonts w:ascii="Manrope" w:hAnsi="Manrope"/>
            <w:sz w:val="16"/>
            <w:szCs w:val="16"/>
          </w:rPr>
          <w:t xml:space="preserve">Art. 28, </w:t>
        </w:r>
        <w:r w:rsidR="00B87D6A">
          <w:rPr>
            <w:rStyle w:val="Collegamentoipertestuale"/>
            <w:rFonts w:ascii="Manrope" w:hAnsi="Manrope"/>
            <w:sz w:val="16"/>
            <w:szCs w:val="16"/>
          </w:rPr>
          <w:t>co.</w:t>
        </w:r>
        <w:r w:rsidRPr="00692A5F">
          <w:rPr>
            <w:rStyle w:val="Collegamentoipertestuale"/>
            <w:rFonts w:ascii="Manrope" w:hAnsi="Manrope"/>
            <w:sz w:val="16"/>
            <w:szCs w:val="16"/>
          </w:rPr>
          <w:t xml:space="preserve"> 2 </w:t>
        </w:r>
        <w:r w:rsidR="000D46A0" w:rsidRPr="000D46A0">
          <w:rPr>
            <w:rStyle w:val="Collegamentoipertestuale"/>
            <w:rFonts w:ascii="Manrope" w:hAnsi="Manrope"/>
            <w:sz w:val="16"/>
            <w:szCs w:val="16"/>
          </w:rPr>
          <w:t xml:space="preserve">D. Lgs. 36/2023 </w:t>
        </w:r>
        <w:r w:rsidRPr="00692A5F">
          <w:rPr>
            <w:rStyle w:val="Collegamentoipertestuale"/>
            <w:rFonts w:ascii="Manrope" w:hAnsi="Manrope"/>
            <w:sz w:val="16"/>
            <w:szCs w:val="16"/>
          </w:rPr>
          <w:t xml:space="preserve">“Trasparenza dei contratti pubblici” </w:t>
        </w:r>
      </w:hyperlink>
    </w:p>
    <w:p w14:paraId="1434798E" w14:textId="77777777" w:rsidR="00692A5F" w:rsidRPr="00692A5F" w:rsidRDefault="00692A5F" w:rsidP="00692A5F">
      <w:pPr>
        <w:tabs>
          <w:tab w:val="left" w:pos="0"/>
          <w:tab w:val="left" w:pos="6237"/>
          <w:tab w:val="left" w:pos="6804"/>
        </w:tabs>
        <w:jc w:val="both"/>
        <w:rPr>
          <w:rFonts w:ascii="Manrope" w:hAnsi="Manrope"/>
          <w:i/>
          <w:iCs/>
          <w:sz w:val="16"/>
          <w:szCs w:val="16"/>
        </w:rPr>
      </w:pPr>
      <w:r w:rsidRPr="00692A5F">
        <w:rPr>
          <w:rFonts w:ascii="Manrope" w:hAnsi="Manrope"/>
          <w:i/>
          <w:iCs/>
          <w:sz w:val="16"/>
          <w:szCs w:val="16"/>
        </w:rPr>
        <w:t>2. Le stazioni appaltanti e gli enti concedenti assicurano il collegamento tra la sezione «Amministrazione trasparente» del sito istituzionale e la Banca dati nazionale dei contratti pubblici, secondo le disposizioni di cui al decreto legislativo 14 marzo 2013, n. 33. Sono pubblicati nella predetta sezione di cui al primo periodo la composizione della commissione giudicatrice e i curricula dei suoi componenti, nonché i resoconti della gestione finanziaria dei contratti al termine della loro esecuzione.</w:t>
      </w:r>
    </w:p>
    <w:p w14:paraId="39FB0887" w14:textId="3C27FB27" w:rsidR="00692A5F" w:rsidRDefault="00692A5F">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rope">
    <w:panose1 w:val="00000000000000000000"/>
    <w:charset w:val="00"/>
    <w:family w:val="auto"/>
    <w:pitch w:val="variable"/>
    <w:sig w:usb0="A00002BF" w:usb1="5000206B" w:usb2="00000000" w:usb3="00000000" w:csb0="0000019F" w:csb1="00000000"/>
  </w:font>
  <w:font w:name="Calibri">
    <w:panose1 w:val="020F0502020204030204"/>
    <w:charset w:val="00"/>
    <w:family w:val="swiss"/>
    <w:pitch w:val="variable"/>
    <w:sig w:usb0="E4002EFF" w:usb1="C000247B" w:usb2="00000009" w:usb3="00000000" w:csb0="000001FF" w:csb1="00000000"/>
  </w:font>
  <w:font w:name="Frank Ruhl Libre">
    <w:altName w:val="Frank Ruhl Libre"/>
    <w:panose1 w:val="00000000000000000000"/>
    <w:charset w:val="00"/>
    <w:family w:val="auto"/>
    <w:pitch w:val="variable"/>
    <w:sig w:usb0="A00008EF" w:usb1="4001205B" w:usb2="00000008" w:usb3="00000000" w:csb0="000000B3"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inion Pro">
    <w:altName w:val="Cambria Math"/>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1EA1" w14:textId="77777777" w:rsidR="00D50B92" w:rsidRDefault="00D50B92" w:rsidP="00EC542F">
    <w:pPr>
      <w:pStyle w:val="FooterSX"/>
      <w:spacing w:after="400"/>
      <w:rPr>
        <w:rStyle w:val="bold"/>
        <w:color w:val="44546A" w:themeColor="text2"/>
      </w:rPr>
    </w:pPr>
  </w:p>
  <w:p w14:paraId="61718E2C" w14:textId="6D949CBE" w:rsidR="008C1BCD" w:rsidRPr="008367D7" w:rsidRDefault="008C1BCD" w:rsidP="008C1BCD">
    <w:pPr>
      <w:pStyle w:val="FooterSX"/>
      <w:rPr>
        <w:rStyle w:val="bold"/>
        <w:color w:val="44546A" w:themeColor="text2"/>
      </w:rPr>
    </w:pPr>
    <w:r w:rsidRPr="008367D7">
      <w:rPr>
        <w:rStyle w:val="bold"/>
        <w:color w:val="44546A" w:themeColor="text2"/>
      </w:rPr>
      <w:t>Area Affari Generali e Supporto Strategico</w:t>
    </w:r>
  </w:p>
  <w:p w14:paraId="5C6815D5" w14:textId="77777777" w:rsidR="008C1BCD" w:rsidRPr="008367D7" w:rsidRDefault="008C1BCD" w:rsidP="008C1BCD">
    <w:pPr>
      <w:pStyle w:val="FooterSX"/>
      <w:rPr>
        <w:rStyle w:val="bold"/>
        <w:color w:val="44546A" w:themeColor="text2"/>
      </w:rPr>
    </w:pPr>
    <w:r w:rsidRPr="008367D7">
      <w:rPr>
        <w:rStyle w:val="bold"/>
        <w:color w:val="44546A" w:themeColor="text2"/>
      </w:rPr>
      <w:t xml:space="preserve">Servizio Affari Generali, Normativa Istituzionale e Organi Collegiali </w:t>
    </w:r>
  </w:p>
  <w:p w14:paraId="6387CDA1" w14:textId="5BAF10F7" w:rsidR="008C1BCD" w:rsidRDefault="008C1BCD" w:rsidP="008C1BCD">
    <w:pPr>
      <w:pStyle w:val="Footer"/>
    </w:pPr>
    <w:r w:rsidRPr="008367D7">
      <w:rPr>
        <w:color w:val="44546A" w:themeColor="text2"/>
      </w:rPr>
      <w:t>Piazza Leonardo da Vinci, 32 - 20133 Milano</w:t>
    </w:r>
    <w:r>
      <w:tab/>
    </w:r>
    <w:hyperlink r:id="rId1" w:history="1">
      <w:r w:rsidRPr="00D8518E">
        <w:rPr>
          <w:rStyle w:val="Collegamentoipertestuale"/>
        </w:rPr>
        <w:t>www.polimi.it</w:t>
      </w:r>
    </w:hyperlink>
  </w:p>
  <w:p w14:paraId="551E98CF" w14:textId="77777777" w:rsidR="008C1BCD" w:rsidRPr="008C1BCD" w:rsidRDefault="008C1BCD" w:rsidP="008C1BCD">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3440F" w14:textId="77777777" w:rsidR="00C272F8" w:rsidRDefault="00C272F8" w:rsidP="008C1BCD">
      <w:r>
        <w:separator/>
      </w:r>
    </w:p>
  </w:footnote>
  <w:footnote w:type="continuationSeparator" w:id="0">
    <w:p w14:paraId="0514C31D" w14:textId="77777777" w:rsidR="00C272F8" w:rsidRDefault="00C272F8" w:rsidP="008C1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0DBDB" w14:textId="088A6A18" w:rsidR="008C1BCD" w:rsidRDefault="008C1BCD">
    <w:pPr>
      <w:pStyle w:val="Intestazione"/>
    </w:pPr>
    <w:r>
      <w:rPr>
        <w:noProof/>
      </w:rPr>
      <w:drawing>
        <wp:inline distT="0" distB="0" distL="0" distR="0" wp14:anchorId="4114D098" wp14:editId="116C5912">
          <wp:extent cx="1725318" cy="573074"/>
          <wp:effectExtent l="0" t="0" r="825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725318" cy="5730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69B"/>
    <w:multiLevelType w:val="hybridMultilevel"/>
    <w:tmpl w:val="E06AF94E"/>
    <w:lvl w:ilvl="0" w:tplc="7570B06E">
      <w:start w:val="1"/>
      <w:numFmt w:val="bullet"/>
      <w:lvlText w:val="-"/>
      <w:lvlJc w:val="left"/>
      <w:pPr>
        <w:ind w:left="360" w:hanging="360"/>
      </w:pPr>
      <w:rPr>
        <w:rFonts w:ascii="Verdana" w:hAnsi="Verdana" w:hint="default"/>
        <w:color w:val="auto"/>
        <w:sz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608073D"/>
    <w:multiLevelType w:val="hybridMultilevel"/>
    <w:tmpl w:val="A0685F44"/>
    <w:lvl w:ilvl="0" w:tplc="ADBECA00">
      <w:start w:val="1"/>
      <w:numFmt w:val="decimal"/>
      <w:pStyle w:val="ELENCOol"/>
      <w:lvlText w:val="%1."/>
      <w:lvlJc w:val="left"/>
      <w:pPr>
        <w:ind w:left="720" w:hanging="360"/>
      </w:pPr>
      <w:rPr>
        <w:rFonts w:hint="default"/>
      </w:rPr>
    </w:lvl>
    <w:lvl w:ilvl="1" w:tplc="BF8A80BC">
      <w:start w:val="1"/>
      <w:numFmt w:val="bullet"/>
      <w:pStyle w:val="ELENCOul2livello"/>
      <w:lvlText w:val=""/>
      <w:lvlJc w:val="left"/>
      <w:pPr>
        <w:ind w:left="1440" w:hanging="360"/>
      </w:pPr>
      <w:rPr>
        <w:rFonts w:ascii="Symbol" w:hAnsi="Symbol" w:hint="default"/>
      </w:rPr>
    </w:lvl>
    <w:lvl w:ilvl="2" w:tplc="1068CD54">
      <w:start w:val="4"/>
      <w:numFmt w:val="bullet"/>
      <w:lvlText w:val="-"/>
      <w:lvlJc w:val="left"/>
      <w:pPr>
        <w:ind w:left="2160" w:hanging="360"/>
      </w:pPr>
      <w:rPr>
        <w:rFonts w:ascii="Manrope" w:eastAsiaTheme="minorHAnsi" w:hAnsi="Manrope" w:cs="Frank Ruhl Libre"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521CBB"/>
    <w:multiLevelType w:val="hybridMultilevel"/>
    <w:tmpl w:val="241A6372"/>
    <w:lvl w:ilvl="0" w:tplc="7362DEE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289518E"/>
    <w:multiLevelType w:val="hybridMultilevel"/>
    <w:tmpl w:val="42F88C66"/>
    <w:lvl w:ilvl="0" w:tplc="91387E22">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C730485"/>
    <w:multiLevelType w:val="hybridMultilevel"/>
    <w:tmpl w:val="CA2235EC"/>
    <w:lvl w:ilvl="0" w:tplc="91387E22">
      <w:start w:val="1"/>
      <w:numFmt w:val="bullet"/>
      <w:lvlText w:val="-"/>
      <w:lvlJc w:val="left"/>
      <w:pPr>
        <w:ind w:left="360" w:hanging="360"/>
      </w:pPr>
      <w:rPr>
        <w:rFonts w:ascii="Verdana" w:hAnsi="Verdana" w:hint="default"/>
        <w:color w:val="auto"/>
        <w:sz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1512B35"/>
    <w:multiLevelType w:val="hybridMultilevel"/>
    <w:tmpl w:val="58F063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90"/>
    <w:rsid w:val="0003209D"/>
    <w:rsid w:val="000529E6"/>
    <w:rsid w:val="00055530"/>
    <w:rsid w:val="000D46A0"/>
    <w:rsid w:val="00162E69"/>
    <w:rsid w:val="00176A12"/>
    <w:rsid w:val="001A2BCF"/>
    <w:rsid w:val="002254BB"/>
    <w:rsid w:val="00294C71"/>
    <w:rsid w:val="002B12D2"/>
    <w:rsid w:val="003207EE"/>
    <w:rsid w:val="003631BD"/>
    <w:rsid w:val="00376FD0"/>
    <w:rsid w:val="00381A0F"/>
    <w:rsid w:val="00485A5A"/>
    <w:rsid w:val="00495857"/>
    <w:rsid w:val="004E22DB"/>
    <w:rsid w:val="004F36FD"/>
    <w:rsid w:val="005156E5"/>
    <w:rsid w:val="00561526"/>
    <w:rsid w:val="005F60AA"/>
    <w:rsid w:val="00692A5F"/>
    <w:rsid w:val="006B1CD4"/>
    <w:rsid w:val="007365B2"/>
    <w:rsid w:val="007B2D4F"/>
    <w:rsid w:val="007E77AD"/>
    <w:rsid w:val="008367D7"/>
    <w:rsid w:val="0084700D"/>
    <w:rsid w:val="00865A39"/>
    <w:rsid w:val="0089002A"/>
    <w:rsid w:val="008A3DFB"/>
    <w:rsid w:val="008C1BCD"/>
    <w:rsid w:val="008C64B2"/>
    <w:rsid w:val="0098081A"/>
    <w:rsid w:val="0098320D"/>
    <w:rsid w:val="00990BDB"/>
    <w:rsid w:val="009C142A"/>
    <w:rsid w:val="00A16C90"/>
    <w:rsid w:val="00A235BF"/>
    <w:rsid w:val="00A33F29"/>
    <w:rsid w:val="00A92DF2"/>
    <w:rsid w:val="00B539D4"/>
    <w:rsid w:val="00B84219"/>
    <w:rsid w:val="00B87D6A"/>
    <w:rsid w:val="00BB656B"/>
    <w:rsid w:val="00C0497A"/>
    <w:rsid w:val="00C23BC8"/>
    <w:rsid w:val="00C272F8"/>
    <w:rsid w:val="00C37142"/>
    <w:rsid w:val="00C97394"/>
    <w:rsid w:val="00CB7670"/>
    <w:rsid w:val="00CC5EA0"/>
    <w:rsid w:val="00D50B92"/>
    <w:rsid w:val="00D50E54"/>
    <w:rsid w:val="00DA02DE"/>
    <w:rsid w:val="00DC655E"/>
    <w:rsid w:val="00E35BD9"/>
    <w:rsid w:val="00EC4C1A"/>
    <w:rsid w:val="00EC542F"/>
    <w:rsid w:val="00EE4277"/>
    <w:rsid w:val="00EF5E7E"/>
    <w:rsid w:val="00F42712"/>
    <w:rsid w:val="00FF48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F9D0A4"/>
  <w15:chartTrackingRefBased/>
  <w15:docId w15:val="{998D729A-13C3-48D0-A1AE-C0DD99E5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1BC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C1BCD"/>
    <w:pPr>
      <w:tabs>
        <w:tab w:val="center" w:pos="4819"/>
        <w:tab w:val="right" w:pos="9638"/>
      </w:tabs>
    </w:pPr>
  </w:style>
  <w:style w:type="character" w:customStyle="1" w:styleId="IntestazioneCarattere">
    <w:name w:val="Intestazione Carattere"/>
    <w:basedOn w:val="Carpredefinitoparagrafo"/>
    <w:link w:val="Intestazione"/>
    <w:uiPriority w:val="99"/>
    <w:rsid w:val="008C1BCD"/>
  </w:style>
  <w:style w:type="paragraph" w:styleId="Pidipagina">
    <w:name w:val="footer"/>
    <w:basedOn w:val="Normale"/>
    <w:link w:val="PidipaginaCarattere"/>
    <w:uiPriority w:val="99"/>
    <w:unhideWhenUsed/>
    <w:rsid w:val="008C1BCD"/>
    <w:pPr>
      <w:tabs>
        <w:tab w:val="center" w:pos="4819"/>
        <w:tab w:val="right" w:pos="9638"/>
      </w:tabs>
    </w:pPr>
  </w:style>
  <w:style w:type="character" w:customStyle="1" w:styleId="PidipaginaCarattere">
    <w:name w:val="Piè di pagina Carattere"/>
    <w:basedOn w:val="Carpredefinitoparagrafo"/>
    <w:link w:val="Pidipagina"/>
    <w:uiPriority w:val="99"/>
    <w:rsid w:val="008C1BCD"/>
  </w:style>
  <w:style w:type="paragraph" w:customStyle="1" w:styleId="Footer">
    <w:name w:val="_Footer"/>
    <w:basedOn w:val="Normale"/>
    <w:qFormat/>
    <w:rsid w:val="008C1BCD"/>
    <w:pPr>
      <w:tabs>
        <w:tab w:val="right" w:pos="9638"/>
      </w:tabs>
    </w:pPr>
    <w:rPr>
      <w:rFonts w:ascii="Manrope" w:hAnsi="Manrope" w:cstheme="majorHAnsi"/>
      <w:color w:val="4472C4" w:themeColor="accent1"/>
      <w:sz w:val="16"/>
      <w:szCs w:val="16"/>
    </w:rPr>
  </w:style>
  <w:style w:type="character" w:customStyle="1" w:styleId="bold">
    <w:name w:val="_bold"/>
    <w:basedOn w:val="Carpredefinitoparagrafo"/>
    <w:uiPriority w:val="1"/>
    <w:qFormat/>
    <w:rsid w:val="008C1BCD"/>
    <w:rPr>
      <w:rFonts w:ascii="Manrope" w:hAnsi="Manrope"/>
      <w:b/>
      <w:bCs/>
    </w:rPr>
  </w:style>
  <w:style w:type="paragraph" w:customStyle="1" w:styleId="FooterSX">
    <w:name w:val="_Footer_SX"/>
    <w:basedOn w:val="Normale"/>
    <w:qFormat/>
    <w:rsid w:val="008C1BCD"/>
    <w:rPr>
      <w:rFonts w:ascii="Manrope" w:hAnsi="Manrope" w:cstheme="majorHAnsi"/>
      <w:color w:val="4472C4" w:themeColor="accent1"/>
      <w:sz w:val="16"/>
      <w:szCs w:val="16"/>
    </w:rPr>
  </w:style>
  <w:style w:type="character" w:styleId="Collegamentoipertestuale">
    <w:name w:val="Hyperlink"/>
    <w:basedOn w:val="Carpredefinitoparagrafo"/>
    <w:uiPriority w:val="99"/>
    <w:unhideWhenUsed/>
    <w:rsid w:val="008C1BCD"/>
    <w:rPr>
      <w:color w:val="0563C1" w:themeColor="hyperlink"/>
      <w:u w:val="single"/>
    </w:rPr>
  </w:style>
  <w:style w:type="character" w:styleId="Menzionenonrisolta">
    <w:name w:val="Unresolved Mention"/>
    <w:basedOn w:val="Carpredefinitoparagrafo"/>
    <w:uiPriority w:val="99"/>
    <w:semiHidden/>
    <w:unhideWhenUsed/>
    <w:rsid w:val="008C1BCD"/>
    <w:rPr>
      <w:color w:val="605E5C"/>
      <w:shd w:val="clear" w:color="auto" w:fill="E1DFDD"/>
    </w:rPr>
  </w:style>
  <w:style w:type="paragraph" w:styleId="Paragrafoelenco">
    <w:name w:val="List Paragraph"/>
    <w:basedOn w:val="Normale"/>
    <w:uiPriority w:val="34"/>
    <w:qFormat/>
    <w:rsid w:val="008C1BCD"/>
    <w:pPr>
      <w:ind w:left="720"/>
      <w:contextualSpacing/>
    </w:pPr>
    <w:rPr>
      <w:lang w:eastAsia="en-US"/>
    </w:rPr>
  </w:style>
  <w:style w:type="paragraph" w:styleId="NormaleWeb">
    <w:name w:val="Normal (Web)"/>
    <w:basedOn w:val="Normale"/>
    <w:uiPriority w:val="99"/>
    <w:unhideWhenUsed/>
    <w:rsid w:val="008C1BCD"/>
    <w:pPr>
      <w:spacing w:before="100" w:beforeAutospacing="1" w:after="100" w:afterAutospacing="1"/>
    </w:pPr>
    <w:rPr>
      <w:lang w:eastAsia="en-US"/>
    </w:rPr>
  </w:style>
  <w:style w:type="paragraph" w:customStyle="1" w:styleId="ELENCOol">
    <w:name w:val="_ELENCO_ol"/>
    <w:basedOn w:val="Normale"/>
    <w:qFormat/>
    <w:rsid w:val="008C1BCD"/>
    <w:pPr>
      <w:numPr>
        <w:numId w:val="5"/>
      </w:numPr>
      <w:spacing w:line="259" w:lineRule="auto"/>
      <w:ind w:left="360"/>
    </w:pPr>
    <w:rPr>
      <w:rFonts w:ascii="Manrope" w:eastAsiaTheme="minorHAnsi" w:hAnsi="Manrope" w:cs="Frank Ruhl Libre"/>
      <w:sz w:val="20"/>
      <w:szCs w:val="20"/>
      <w:lang w:val="en-GB" w:eastAsia="en-US"/>
    </w:rPr>
  </w:style>
  <w:style w:type="paragraph" w:customStyle="1" w:styleId="ELENCOul2livello">
    <w:name w:val="_ELENCO_ul_2livello"/>
    <w:basedOn w:val="Normale"/>
    <w:qFormat/>
    <w:rsid w:val="008C1BCD"/>
    <w:pPr>
      <w:numPr>
        <w:ilvl w:val="1"/>
        <w:numId w:val="5"/>
      </w:numPr>
      <w:spacing w:line="259" w:lineRule="auto"/>
    </w:pPr>
    <w:rPr>
      <w:rFonts w:ascii="Manrope" w:eastAsiaTheme="minorHAnsi" w:hAnsi="Manrope" w:cs="Frank Ruhl Libre"/>
      <w:sz w:val="20"/>
      <w:szCs w:val="20"/>
      <w:lang w:val="en-GB" w:eastAsia="en-US"/>
    </w:rPr>
  </w:style>
  <w:style w:type="character" w:styleId="Collegamentovisitato">
    <w:name w:val="FollowedHyperlink"/>
    <w:basedOn w:val="Carpredefinitoparagrafo"/>
    <w:uiPriority w:val="99"/>
    <w:semiHidden/>
    <w:unhideWhenUsed/>
    <w:rsid w:val="00CC5EA0"/>
    <w:rPr>
      <w:color w:val="954F72" w:themeColor="followedHyperlink"/>
      <w:u w:val="single"/>
    </w:rPr>
  </w:style>
  <w:style w:type="table" w:styleId="Grigliatabella">
    <w:name w:val="Table Grid"/>
    <w:basedOn w:val="Tabellanormale"/>
    <w:uiPriority w:val="39"/>
    <w:rsid w:val="0049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estatina">
    <w:name w:val="_TAB_testatina"/>
    <w:basedOn w:val="Normale"/>
    <w:qFormat/>
    <w:rsid w:val="00495857"/>
    <w:pPr>
      <w:jc w:val="right"/>
    </w:pPr>
    <w:rPr>
      <w:rFonts w:ascii="Manrope" w:eastAsiaTheme="minorHAnsi" w:hAnsi="Manrope" w:cs="Frank Ruhl Libre"/>
      <w:b/>
      <w:bCs/>
      <w:sz w:val="20"/>
      <w:szCs w:val="20"/>
      <w:lang w:eastAsia="en-US"/>
    </w:rPr>
  </w:style>
  <w:style w:type="paragraph" w:customStyle="1" w:styleId="TABbody">
    <w:name w:val="_TAB_body"/>
    <w:basedOn w:val="Normale"/>
    <w:qFormat/>
    <w:rsid w:val="00495857"/>
    <w:rPr>
      <w:rFonts w:ascii="Manrope" w:eastAsiaTheme="minorHAnsi" w:hAnsi="Manrope" w:cs="Frank Ruhl Libre"/>
      <w:sz w:val="20"/>
      <w:szCs w:val="20"/>
      <w:lang w:eastAsia="en-US"/>
    </w:rPr>
  </w:style>
  <w:style w:type="paragraph" w:customStyle="1" w:styleId="Titolo2">
    <w:name w:val="_Titolo2"/>
    <w:basedOn w:val="Normale"/>
    <w:next w:val="Normale"/>
    <w:qFormat/>
    <w:rsid w:val="00381A0F"/>
    <w:pPr>
      <w:spacing w:before="400" w:after="200" w:line="259" w:lineRule="auto"/>
    </w:pPr>
    <w:rPr>
      <w:rFonts w:ascii="Manrope" w:eastAsiaTheme="minorHAnsi" w:hAnsi="Manrope" w:cs="Frank Ruhl Libre"/>
      <w:b/>
      <w:bCs/>
      <w:color w:val="4472C4" w:themeColor="accent1"/>
      <w:sz w:val="32"/>
      <w:szCs w:val="20"/>
      <w:lang w:val="en-GB" w:eastAsia="en-US"/>
    </w:rPr>
  </w:style>
  <w:style w:type="paragraph" w:styleId="Testonotadichiusura">
    <w:name w:val="endnote text"/>
    <w:basedOn w:val="Normale"/>
    <w:link w:val="TestonotadichiusuraCarattere"/>
    <w:uiPriority w:val="99"/>
    <w:semiHidden/>
    <w:unhideWhenUsed/>
    <w:rsid w:val="005156E5"/>
    <w:rPr>
      <w:sz w:val="20"/>
      <w:szCs w:val="20"/>
    </w:rPr>
  </w:style>
  <w:style w:type="character" w:customStyle="1" w:styleId="TestonotadichiusuraCarattere">
    <w:name w:val="Testo nota di chiusura Carattere"/>
    <w:basedOn w:val="Carpredefinitoparagrafo"/>
    <w:link w:val="Testonotadichiusura"/>
    <w:uiPriority w:val="99"/>
    <w:semiHidden/>
    <w:rsid w:val="005156E5"/>
    <w:rPr>
      <w:rFonts w:ascii="Times New Roman" w:eastAsia="Times New Roman" w:hAnsi="Times New Roman" w:cs="Times New Roman"/>
      <w:sz w:val="20"/>
      <w:szCs w:val="20"/>
      <w:lang w:eastAsia="it-IT"/>
    </w:rPr>
  </w:style>
  <w:style w:type="character" w:styleId="Rimandonotadichiusura">
    <w:name w:val="endnote reference"/>
    <w:basedOn w:val="Carpredefinitoparagrafo"/>
    <w:uiPriority w:val="99"/>
    <w:semiHidden/>
    <w:unhideWhenUsed/>
    <w:rsid w:val="005156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iva.polimi.it/fileadmin/user_upload/regolamenti/codici/Codice_Etico_e_di_comportamento_del_Politecnico_di_Milano_-_modifica.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limi.it/imprese/bandi-per-le-impre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mi.it/fileadmin/user_upload/Il-Politecnico/privacy/2024_07_30_Informativa_Commissari_di_gara_RUP_e_DEC_-_Vers_luglio_2024.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ticorruzione@polimi.it" TargetMode="External"/><Relationship Id="rId4" Type="http://schemas.openxmlformats.org/officeDocument/2006/relationships/settings" Target="settings.xml"/><Relationship Id="rId9" Type="http://schemas.openxmlformats.org/officeDocument/2006/relationships/hyperlink" Target="https://trasparenza.polimi.it/contenuto35853_piano-integrato-di-attivit-e-organizzazione_711.html"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normattiva.it/atto/caricaDettaglioAtto?atto.dataPubblicazioneGazzetta=2013-06-04&amp;atto.codiceRedazionale=13G00104&amp;atto.articolo.numero=0&amp;atto.articolo.sottoArticolo=1&amp;atto.articolo.sottoArticolo1=0&amp;qId=2307d2c9-c8f1-423b-89fd-d9035a83e7e2&amp;tabID=0.6849180561021012&amp;title=lbl.dettaglioAtto" TargetMode="External"/><Relationship Id="rId2" Type="http://schemas.openxmlformats.org/officeDocument/2006/relationships/hyperlink" Target="https://www.normattiva.it/atto/caricaDettaglioAtto?atto.dataPubblicazioneGazzetta=2023-03-31&amp;atto.codiceRedazionale=23G00044&amp;atto.articolo.numero=0&amp;atto.articolo.sottoArticolo=1&amp;atto.articolo.sottoArticolo1=0&amp;qId=cd7da2b1-024e-4096-8b51-7fd3468505c4&amp;tabID=0.6849180561021012&amp;title=lbl.dettaglioAtto" TargetMode="External"/><Relationship Id="rId1" Type="http://schemas.openxmlformats.org/officeDocument/2006/relationships/hyperlink" Target="https://www.normattiva.it/atto/caricaDettaglioAtto?atto.dataPubblicazioneGazzetta=2023-03-31&amp;atto.codiceRedazionale=23G00044&amp;atto.articolo.numero=0&amp;atto.articolo.sottoArticolo=1&amp;atto.articolo.sottoArticolo1=0&amp;qId=cd7da2b1-024e-4096-8b51-7fd3468505c4&amp;tabID=0.6849180561021012&amp;title=lbl.dettaglioAtto" TargetMode="External"/><Relationship Id="rId6" Type="http://schemas.openxmlformats.org/officeDocument/2006/relationships/hyperlink" Target="https://www.normattiva.it/atto/caricaDettaglioAtto?atto.dataPubblicazioneGazzetta=2023-03-31&amp;atto.codiceRedazionale=23G00044&amp;atto.articolo.numero=0&amp;atto.articolo.sottoArticolo=1&amp;atto.articolo.sottoArticolo1=0&amp;qId=cd7da2b1-024e-4096-8b51-7fd3468505c4&amp;tabID=0.6849180561021012&amp;title=lbl.dettaglioAtto" TargetMode="External"/><Relationship Id="rId5" Type="http://schemas.openxmlformats.org/officeDocument/2006/relationships/hyperlink" Target="https://www.normattiva.it/uri-res/N2Ls?urn:nir:stato:regio.decreto:1940-10-28;1443:1~art51" TargetMode="External"/><Relationship Id="rId4" Type="http://schemas.openxmlformats.org/officeDocument/2006/relationships/hyperlink" Target="https://www.normativa.polimi.it/strumenti/dettaglio-regolamento/regolament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olim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6A603D279C40A4926E3D80E897EE91"/>
        <w:category>
          <w:name w:val="Generale"/>
          <w:gallery w:val="placeholder"/>
        </w:category>
        <w:types>
          <w:type w:val="bbPlcHdr"/>
        </w:types>
        <w:behaviors>
          <w:behavior w:val="content"/>
        </w:behaviors>
        <w:guid w:val="{4B7B95BE-EE03-4862-8A9C-3328A6887FE7}"/>
      </w:docPartPr>
      <w:docPartBody>
        <w:p w:rsidR="003919E3" w:rsidRDefault="00FD1F88" w:rsidP="00FD1F88">
          <w:pPr>
            <w:pStyle w:val="F96A603D279C40A4926E3D80E897EE91"/>
          </w:pPr>
          <w:r w:rsidRPr="009E47EB">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rope">
    <w:panose1 w:val="00000000000000000000"/>
    <w:charset w:val="00"/>
    <w:family w:val="auto"/>
    <w:pitch w:val="variable"/>
    <w:sig w:usb0="A00002BF" w:usb1="5000206B" w:usb2="00000000" w:usb3="00000000" w:csb0="0000019F" w:csb1="00000000"/>
  </w:font>
  <w:font w:name="Calibri">
    <w:panose1 w:val="020F0502020204030204"/>
    <w:charset w:val="00"/>
    <w:family w:val="swiss"/>
    <w:pitch w:val="variable"/>
    <w:sig w:usb0="E4002EFF" w:usb1="C000247B" w:usb2="00000009" w:usb3="00000000" w:csb0="000001FF" w:csb1="00000000"/>
  </w:font>
  <w:font w:name="Frank Ruhl Libre">
    <w:altName w:val="Frank Ruhl Libre"/>
    <w:panose1 w:val="00000000000000000000"/>
    <w:charset w:val="00"/>
    <w:family w:val="auto"/>
    <w:pitch w:val="variable"/>
    <w:sig w:usb0="A00008EF" w:usb1="4001205B" w:usb2="00000008" w:usb3="00000000" w:csb0="000000B3"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inion Pro">
    <w:altName w:val="Cambria Math"/>
    <w:charset w:val="00"/>
    <w:family w:val="roman"/>
    <w:pitch w:val="variable"/>
    <w:sig w:usb0="60000287" w:usb1="00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88"/>
    <w:rsid w:val="00250E72"/>
    <w:rsid w:val="003919E3"/>
    <w:rsid w:val="0048273C"/>
    <w:rsid w:val="00FD1F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D1F88"/>
    <w:rPr>
      <w:color w:val="808080"/>
    </w:rPr>
  </w:style>
  <w:style w:type="paragraph" w:customStyle="1" w:styleId="F96A603D279C40A4926E3D80E897EE91">
    <w:name w:val="F96A603D279C40A4926E3D80E897EE91"/>
    <w:rsid w:val="00FD1F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D15B6-1AAA-423E-9F6F-0F7B322F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694</Words>
  <Characters>3959</Characters>
  <Application>Microsoft Office Word</Application>
  <DocSecurity>0</DocSecurity>
  <Lines>32</Lines>
  <Paragraphs>9</Paragraphs>
  <ScaleCrop>false</ScaleCrop>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Forlani</dc:creator>
  <cp:keywords/>
  <dc:description/>
  <cp:lastModifiedBy>Silvia Forlani</cp:lastModifiedBy>
  <cp:revision>19</cp:revision>
  <dcterms:created xsi:type="dcterms:W3CDTF">2025-08-01T10:06:00Z</dcterms:created>
  <dcterms:modified xsi:type="dcterms:W3CDTF">2025-08-01T12:53:00Z</dcterms:modified>
</cp:coreProperties>
</file>