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78D5" w14:textId="75555259" w:rsidR="008C1BCD" w:rsidRPr="003631BD" w:rsidRDefault="008C1BCD" w:rsidP="008C1BCD">
      <w:pPr>
        <w:pStyle w:val="NormaleWeb"/>
        <w:shd w:val="clear" w:color="auto" w:fill="FFFFFF"/>
        <w:spacing w:line="360" w:lineRule="auto"/>
        <w:jc w:val="both"/>
        <w:textAlignment w:val="baseline"/>
        <w:rPr>
          <w:rFonts w:ascii="Manrope" w:hAnsi="Manrope" w:cs="Minion Pro"/>
          <w:sz w:val="20"/>
          <w:szCs w:val="20"/>
        </w:rPr>
      </w:pPr>
    </w:p>
    <w:p w14:paraId="11EDAF53" w14:textId="2282086A" w:rsidR="004F36FD" w:rsidRDefault="00C37142" w:rsidP="005809E9">
      <w:pPr>
        <w:jc w:val="center"/>
        <w:rPr>
          <w:rFonts w:ascii="Manrope" w:hAnsi="Manrope"/>
          <w:bCs/>
          <w:sz w:val="20"/>
          <w:szCs w:val="20"/>
        </w:rPr>
      </w:pPr>
      <w:r>
        <w:rPr>
          <w:rFonts w:ascii="Manrope" w:hAnsi="Manrope"/>
          <w:b/>
          <w:sz w:val="22"/>
          <w:szCs w:val="22"/>
        </w:rPr>
        <w:tab/>
      </w:r>
      <w:r>
        <w:rPr>
          <w:rFonts w:ascii="Manrope" w:hAnsi="Manrope"/>
          <w:b/>
          <w:sz w:val="22"/>
          <w:szCs w:val="22"/>
        </w:rPr>
        <w:tab/>
      </w:r>
      <w:r>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sidRPr="003207EE">
        <w:rPr>
          <w:rFonts w:ascii="Manrope" w:hAnsi="Manrope"/>
          <w:bCs/>
          <w:sz w:val="20"/>
          <w:szCs w:val="20"/>
        </w:rPr>
        <w:t xml:space="preserve">Milano, </w:t>
      </w:r>
      <w:sdt>
        <w:sdtPr>
          <w:rPr>
            <w:rFonts w:ascii="Manrope" w:hAnsi="Manrope"/>
            <w:bCs/>
            <w:sz w:val="20"/>
            <w:szCs w:val="20"/>
          </w:rPr>
          <w:id w:val="-1276938903"/>
          <w:placeholder>
            <w:docPart w:val="F96A603D279C40A4926E3D80E897EE91"/>
          </w:placeholder>
          <w:date w:fullDate="2023-09-20T00:00:00Z">
            <w:dateFormat w:val="dd/MM/yyyy"/>
            <w:lid w:val="it-IT"/>
            <w:storeMappedDataAs w:val="dateTime"/>
            <w:calendar w:val="gregorian"/>
          </w:date>
        </w:sdtPr>
        <w:sdtEndPr/>
        <w:sdtContent>
          <w:r w:rsidR="00DA02DE" w:rsidRPr="00FB1907">
            <w:rPr>
              <w:rFonts w:ascii="Manrope" w:hAnsi="Manrope"/>
              <w:bCs/>
              <w:sz w:val="20"/>
              <w:szCs w:val="20"/>
            </w:rPr>
            <w:t>20/09/2023</w:t>
          </w:r>
        </w:sdtContent>
      </w:sdt>
    </w:p>
    <w:p w14:paraId="71898300" w14:textId="77777777" w:rsidR="005809E9" w:rsidRPr="005809E9" w:rsidRDefault="005809E9" w:rsidP="005809E9">
      <w:pPr>
        <w:jc w:val="center"/>
        <w:rPr>
          <w:rFonts w:ascii="Manrope" w:hAnsi="Manrope"/>
          <w:bCs/>
          <w:sz w:val="20"/>
          <w:szCs w:val="20"/>
        </w:rPr>
      </w:pPr>
    </w:p>
    <w:p w14:paraId="3DB5B140" w14:textId="36EF3E93" w:rsidR="008C1BCD" w:rsidRPr="00FB1907" w:rsidRDefault="00DA02DE" w:rsidP="00C0497A">
      <w:pPr>
        <w:pStyle w:val="NormaleWeb"/>
        <w:shd w:val="clear" w:color="auto" w:fill="FFFFFF"/>
        <w:spacing w:before="400" w:beforeAutospacing="0" w:after="200" w:afterAutospacing="0" w:line="259" w:lineRule="auto"/>
        <w:jc w:val="both"/>
        <w:textAlignment w:val="baseline"/>
        <w:rPr>
          <w:rFonts w:ascii="Manrope" w:hAnsi="Manrope" w:cs="Minion Pro"/>
          <w:color w:val="102C53"/>
          <w:sz w:val="32"/>
          <w:szCs w:val="32"/>
        </w:rPr>
      </w:pPr>
      <w:r w:rsidRPr="00FB1907">
        <w:rPr>
          <w:rFonts w:ascii="Manrope" w:hAnsi="Manrope"/>
          <w:b/>
          <w:color w:val="102C53"/>
          <w:sz w:val="32"/>
          <w:szCs w:val="32"/>
        </w:rPr>
        <w:t xml:space="preserve">Dichiarazione di assenza di cause di incompatibilità per la nomina a </w:t>
      </w:r>
      <w:r w:rsidR="00771EFC" w:rsidRPr="00FB1907">
        <w:rPr>
          <w:rFonts w:ascii="Manrope" w:hAnsi="Manrope"/>
          <w:b/>
          <w:color w:val="102C53"/>
          <w:sz w:val="32"/>
          <w:szCs w:val="32"/>
        </w:rPr>
        <w:t>SEGRETARIO VERBALIZZANTE</w:t>
      </w:r>
      <w:r w:rsidRPr="00FB1907">
        <w:rPr>
          <w:rFonts w:ascii="Manrope" w:hAnsi="Manrope"/>
          <w:b/>
          <w:color w:val="102C53"/>
          <w:sz w:val="32"/>
          <w:szCs w:val="32"/>
        </w:rPr>
        <w:t xml:space="preserve"> di Gara </w:t>
      </w:r>
      <w:r w:rsidRPr="00FB1907">
        <w:rPr>
          <w:rFonts w:ascii="Manrope" w:hAnsi="Manrope"/>
          <w:b/>
          <w:i/>
          <w:color w:val="102C53"/>
          <w:sz w:val="32"/>
          <w:szCs w:val="32"/>
        </w:rPr>
        <w:t>ex art</w:t>
      </w:r>
      <w:r w:rsidRPr="00FB1907">
        <w:rPr>
          <w:rFonts w:ascii="Manrope" w:hAnsi="Manrope"/>
          <w:b/>
          <w:color w:val="102C53"/>
          <w:sz w:val="32"/>
          <w:szCs w:val="32"/>
        </w:rPr>
        <w:t>.93 D. Lgs. 31 marzo 2023, n. 36</w:t>
      </w:r>
    </w:p>
    <w:p w14:paraId="75621E72" w14:textId="3B90A922" w:rsidR="008C1BCD" w:rsidRPr="00FB1907" w:rsidRDefault="008C1BCD" w:rsidP="006B1CD4">
      <w:pPr>
        <w:pStyle w:val="NormaleWeb"/>
        <w:shd w:val="clear" w:color="auto" w:fill="FFFFFF"/>
        <w:spacing w:line="259" w:lineRule="auto"/>
        <w:jc w:val="both"/>
        <w:textAlignment w:val="baseline"/>
        <w:rPr>
          <w:rFonts w:ascii="Manrope" w:hAnsi="Manrope"/>
          <w:sz w:val="20"/>
          <w:szCs w:val="20"/>
        </w:rPr>
      </w:pPr>
      <w:r w:rsidRPr="00FB1907">
        <w:rPr>
          <w:rFonts w:ascii="Manrope" w:hAnsi="Manrope" w:cs="Minion Pro"/>
          <w:sz w:val="20"/>
          <w:szCs w:val="20"/>
        </w:rPr>
        <w:t>Il/La sottoscritto/a ………………………………………………………………………………………………………………, in relazione alla procedura</w:t>
      </w:r>
      <w:r w:rsidR="00561526" w:rsidRPr="00FB1907">
        <w:rPr>
          <w:rFonts w:ascii="Manrope" w:hAnsi="Manrope" w:cs="Minion Pro"/>
          <w:sz w:val="20"/>
          <w:szCs w:val="20"/>
        </w:rPr>
        <w:t xml:space="preserve"> </w:t>
      </w:r>
      <w:r w:rsidRPr="00FB1907">
        <w:rPr>
          <w:rFonts w:ascii="Manrope" w:hAnsi="Manrope" w:cs="Minion Pro"/>
          <w:sz w:val="20"/>
          <w:szCs w:val="20"/>
        </w:rPr>
        <w:t>………………………………………………………………………………………………………</w:t>
      </w:r>
      <w:r w:rsidRPr="00FB1907">
        <w:rPr>
          <w:rFonts w:ascii="Manrope" w:hAnsi="Manrope"/>
          <w:sz w:val="20"/>
          <w:szCs w:val="20"/>
        </w:rPr>
        <w:t xml:space="preserve"> per cui hanno presentato offerta i seguenti Operatori economici:</w:t>
      </w:r>
    </w:p>
    <w:tbl>
      <w:tblPr>
        <w:tblStyle w:val="Grigliatabella"/>
        <w:tblW w:w="0" w:type="auto"/>
        <w:jc w:val="center"/>
        <w:tblBorders>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81"/>
        <w:gridCol w:w="2223"/>
      </w:tblGrid>
      <w:tr w:rsidR="00495857" w:rsidRPr="00FB1907" w14:paraId="56FFFB3A" w14:textId="77777777" w:rsidTr="00294C71">
        <w:trPr>
          <w:trHeight w:val="483"/>
          <w:jc w:val="center"/>
        </w:trPr>
        <w:tc>
          <w:tcPr>
            <w:tcW w:w="4581" w:type="dxa"/>
            <w:tcBorders>
              <w:top w:val="nil"/>
              <w:bottom w:val="single" w:sz="12" w:space="0" w:color="auto"/>
            </w:tcBorders>
            <w:vAlign w:val="center"/>
          </w:tcPr>
          <w:p w14:paraId="6C3ABE11" w14:textId="77777777" w:rsidR="00495857" w:rsidRPr="00FB1907" w:rsidRDefault="00495857" w:rsidP="006F48BA">
            <w:pPr>
              <w:pStyle w:val="TABtestatina"/>
              <w:jc w:val="left"/>
            </w:pPr>
            <w:r w:rsidRPr="00FB1907">
              <w:t xml:space="preserve">OPERATORE ECONOMICO </w:t>
            </w:r>
          </w:p>
        </w:tc>
        <w:tc>
          <w:tcPr>
            <w:tcW w:w="2223" w:type="dxa"/>
            <w:tcBorders>
              <w:top w:val="nil"/>
              <w:bottom w:val="single" w:sz="12" w:space="0" w:color="auto"/>
            </w:tcBorders>
            <w:vAlign w:val="center"/>
          </w:tcPr>
          <w:p w14:paraId="249A857E" w14:textId="77777777" w:rsidR="00495857" w:rsidRPr="00FB1907" w:rsidRDefault="00495857" w:rsidP="006F48BA">
            <w:pPr>
              <w:pStyle w:val="TABtestatina"/>
              <w:jc w:val="left"/>
            </w:pPr>
            <w:r w:rsidRPr="00FB1907">
              <w:t>P.IVA</w:t>
            </w:r>
          </w:p>
        </w:tc>
      </w:tr>
      <w:tr w:rsidR="00495857" w:rsidRPr="00FB1907" w14:paraId="574673A0" w14:textId="77777777" w:rsidTr="00294C71">
        <w:trPr>
          <w:trHeight w:val="510"/>
          <w:jc w:val="center"/>
        </w:trPr>
        <w:tc>
          <w:tcPr>
            <w:tcW w:w="4581" w:type="dxa"/>
            <w:tcBorders>
              <w:top w:val="single" w:sz="12" w:space="0" w:color="auto"/>
            </w:tcBorders>
            <w:vAlign w:val="center"/>
          </w:tcPr>
          <w:p w14:paraId="3555D2B6" w14:textId="77777777" w:rsidR="00495857" w:rsidRPr="00FB1907" w:rsidRDefault="00495857" w:rsidP="006F48BA">
            <w:pPr>
              <w:pStyle w:val="TABbody"/>
            </w:pPr>
            <w:proofErr w:type="spellStart"/>
            <w:r w:rsidRPr="00FB1907">
              <w:t>Lorem</w:t>
            </w:r>
            <w:proofErr w:type="spellEnd"/>
            <w:r w:rsidRPr="00FB1907">
              <w:t xml:space="preserve"> </w:t>
            </w:r>
            <w:proofErr w:type="spellStart"/>
            <w:r w:rsidRPr="00FB1907">
              <w:t>ipsum</w:t>
            </w:r>
            <w:proofErr w:type="spellEnd"/>
            <w:r w:rsidRPr="00FB1907">
              <w:t xml:space="preserve"> </w:t>
            </w:r>
          </w:p>
        </w:tc>
        <w:tc>
          <w:tcPr>
            <w:tcW w:w="2223" w:type="dxa"/>
            <w:tcBorders>
              <w:top w:val="single" w:sz="12" w:space="0" w:color="auto"/>
            </w:tcBorders>
            <w:vAlign w:val="center"/>
          </w:tcPr>
          <w:p w14:paraId="38816683" w14:textId="77777777" w:rsidR="00495857" w:rsidRPr="00FB1907" w:rsidRDefault="00495857" w:rsidP="006F48BA">
            <w:pPr>
              <w:pStyle w:val="TABbody"/>
            </w:pPr>
            <w:r w:rsidRPr="00FB1907">
              <w:t>000</w:t>
            </w:r>
          </w:p>
        </w:tc>
      </w:tr>
      <w:tr w:rsidR="00495857" w:rsidRPr="00FB1907" w14:paraId="53D6AFBE" w14:textId="77777777" w:rsidTr="006F48BA">
        <w:trPr>
          <w:trHeight w:val="510"/>
          <w:jc w:val="center"/>
        </w:trPr>
        <w:tc>
          <w:tcPr>
            <w:tcW w:w="4581" w:type="dxa"/>
            <w:vAlign w:val="center"/>
          </w:tcPr>
          <w:p w14:paraId="44CE9844" w14:textId="77777777" w:rsidR="00495857" w:rsidRPr="00FB1907" w:rsidRDefault="00495857" w:rsidP="006F48BA">
            <w:pPr>
              <w:pStyle w:val="TABbody"/>
            </w:pPr>
            <w:proofErr w:type="spellStart"/>
            <w:r w:rsidRPr="00FB1907">
              <w:t>Lorem</w:t>
            </w:r>
            <w:proofErr w:type="spellEnd"/>
            <w:r w:rsidRPr="00FB1907">
              <w:t xml:space="preserve"> </w:t>
            </w:r>
            <w:proofErr w:type="spellStart"/>
            <w:r w:rsidRPr="00FB1907">
              <w:t>ipsum</w:t>
            </w:r>
            <w:proofErr w:type="spellEnd"/>
            <w:r w:rsidRPr="00FB1907">
              <w:t xml:space="preserve"> </w:t>
            </w:r>
          </w:p>
        </w:tc>
        <w:tc>
          <w:tcPr>
            <w:tcW w:w="2223" w:type="dxa"/>
            <w:vAlign w:val="center"/>
          </w:tcPr>
          <w:p w14:paraId="44B44C0F" w14:textId="77777777" w:rsidR="00495857" w:rsidRPr="00FB1907" w:rsidRDefault="00495857" w:rsidP="006F48BA">
            <w:pPr>
              <w:pStyle w:val="TABbody"/>
            </w:pPr>
            <w:r w:rsidRPr="00FB1907">
              <w:t>000</w:t>
            </w:r>
          </w:p>
        </w:tc>
      </w:tr>
      <w:tr w:rsidR="00495857" w:rsidRPr="00FB1907" w14:paraId="26EF671E" w14:textId="77777777" w:rsidTr="006F48BA">
        <w:trPr>
          <w:trHeight w:val="510"/>
          <w:jc w:val="center"/>
        </w:trPr>
        <w:tc>
          <w:tcPr>
            <w:tcW w:w="4581" w:type="dxa"/>
            <w:tcBorders>
              <w:bottom w:val="single" w:sz="4" w:space="0" w:color="auto"/>
            </w:tcBorders>
            <w:vAlign w:val="center"/>
          </w:tcPr>
          <w:p w14:paraId="6E20F31F" w14:textId="77777777" w:rsidR="00495857" w:rsidRPr="00FB1907" w:rsidRDefault="00495857" w:rsidP="006F48BA">
            <w:pPr>
              <w:pStyle w:val="TABbody"/>
            </w:pPr>
            <w:proofErr w:type="spellStart"/>
            <w:r w:rsidRPr="00FB1907">
              <w:t>Lorem</w:t>
            </w:r>
            <w:proofErr w:type="spellEnd"/>
            <w:r w:rsidRPr="00FB1907">
              <w:t xml:space="preserve"> </w:t>
            </w:r>
            <w:proofErr w:type="spellStart"/>
            <w:r w:rsidRPr="00FB1907">
              <w:t>ipsum</w:t>
            </w:r>
            <w:proofErr w:type="spellEnd"/>
            <w:r w:rsidRPr="00FB1907">
              <w:t xml:space="preserve"> </w:t>
            </w:r>
          </w:p>
        </w:tc>
        <w:tc>
          <w:tcPr>
            <w:tcW w:w="2223" w:type="dxa"/>
            <w:tcBorders>
              <w:bottom w:val="single" w:sz="4" w:space="0" w:color="auto"/>
            </w:tcBorders>
            <w:vAlign w:val="center"/>
          </w:tcPr>
          <w:p w14:paraId="011BEA12" w14:textId="77777777" w:rsidR="00495857" w:rsidRPr="00FB1907" w:rsidRDefault="00495857" w:rsidP="006F48BA">
            <w:pPr>
              <w:pStyle w:val="TABbody"/>
            </w:pPr>
            <w:r w:rsidRPr="00FB1907">
              <w:t>000</w:t>
            </w:r>
          </w:p>
        </w:tc>
      </w:tr>
      <w:tr w:rsidR="00495857" w14:paraId="678EDD6E" w14:textId="77777777" w:rsidTr="006F48BA">
        <w:trPr>
          <w:trHeight w:val="510"/>
          <w:jc w:val="center"/>
        </w:trPr>
        <w:tc>
          <w:tcPr>
            <w:tcW w:w="4581" w:type="dxa"/>
            <w:tcBorders>
              <w:bottom w:val="single" w:sz="4" w:space="0" w:color="auto"/>
            </w:tcBorders>
            <w:vAlign w:val="center"/>
          </w:tcPr>
          <w:p w14:paraId="4953B4AE" w14:textId="77777777" w:rsidR="00495857" w:rsidRPr="00FB1907" w:rsidRDefault="00495857" w:rsidP="006F48BA">
            <w:pPr>
              <w:pStyle w:val="TABbody"/>
            </w:pPr>
            <w:proofErr w:type="spellStart"/>
            <w:r w:rsidRPr="00FB1907">
              <w:t>Lorem</w:t>
            </w:r>
            <w:proofErr w:type="spellEnd"/>
            <w:r w:rsidRPr="00FB1907">
              <w:t xml:space="preserve"> </w:t>
            </w:r>
            <w:proofErr w:type="spellStart"/>
            <w:r w:rsidRPr="00FB1907">
              <w:t>ipsum</w:t>
            </w:r>
            <w:proofErr w:type="spellEnd"/>
            <w:r w:rsidRPr="00FB1907">
              <w:t xml:space="preserve"> </w:t>
            </w:r>
          </w:p>
        </w:tc>
        <w:tc>
          <w:tcPr>
            <w:tcW w:w="2223" w:type="dxa"/>
            <w:tcBorders>
              <w:bottom w:val="single" w:sz="4" w:space="0" w:color="auto"/>
            </w:tcBorders>
            <w:vAlign w:val="center"/>
          </w:tcPr>
          <w:p w14:paraId="2B4740D4" w14:textId="77777777" w:rsidR="00495857" w:rsidRPr="00FB1907" w:rsidRDefault="00495857" w:rsidP="006F48BA">
            <w:pPr>
              <w:pStyle w:val="TABbody"/>
            </w:pPr>
            <w:r w:rsidRPr="00FB1907">
              <w:t>000</w:t>
            </w:r>
          </w:p>
        </w:tc>
      </w:tr>
    </w:tbl>
    <w:p w14:paraId="76FADA75" w14:textId="77777777" w:rsidR="006B1CD4" w:rsidRDefault="006B1CD4" w:rsidP="008C1BCD">
      <w:pPr>
        <w:jc w:val="both"/>
        <w:rPr>
          <w:rFonts w:ascii="Manrope" w:hAnsi="Manrope"/>
          <w:i/>
          <w:sz w:val="20"/>
          <w:szCs w:val="20"/>
        </w:rPr>
      </w:pPr>
    </w:p>
    <w:p w14:paraId="39E6DC04" w14:textId="3CD9ED17" w:rsidR="008C1BCD" w:rsidRPr="003631BD" w:rsidRDefault="008C1BCD" w:rsidP="008C1BCD">
      <w:pPr>
        <w:jc w:val="both"/>
        <w:rPr>
          <w:rFonts w:ascii="Manrope" w:hAnsi="Manrope"/>
          <w:i/>
          <w:sz w:val="20"/>
          <w:szCs w:val="20"/>
        </w:rPr>
      </w:pPr>
      <w:r w:rsidRPr="003631BD">
        <w:rPr>
          <w:rFonts w:ascii="Manrope" w:hAnsi="Manrope"/>
          <w:i/>
          <w:sz w:val="20"/>
          <w:szCs w:val="20"/>
        </w:rPr>
        <w:t>ai sensi dell’art. 47 del D.P.R. 28.12.2000, n. 445 e consapevole delle sanzioni penali previste dall’art. 76 del medesimo Decreto in caso di dichiarazioni mendaci</w:t>
      </w:r>
    </w:p>
    <w:p w14:paraId="74D33EEC" w14:textId="7F14D3EE" w:rsidR="008C1BCD" w:rsidRPr="002254BB" w:rsidRDefault="008C1BCD" w:rsidP="002254BB">
      <w:pPr>
        <w:pStyle w:val="Titolo2"/>
        <w:jc w:val="center"/>
        <w:rPr>
          <w:color w:val="44546A" w:themeColor="text2"/>
          <w:lang w:val="it-IT"/>
        </w:rPr>
      </w:pPr>
      <w:r w:rsidRPr="002254BB">
        <w:rPr>
          <w:color w:val="44546A" w:themeColor="text2"/>
          <w:lang w:val="it-IT"/>
        </w:rPr>
        <w:t>DICHIARA</w:t>
      </w:r>
    </w:p>
    <w:p w14:paraId="6721CBCF" w14:textId="77777777" w:rsidR="008C1BCD" w:rsidRPr="003631BD" w:rsidRDefault="008C1BCD" w:rsidP="00BF5C0E">
      <w:pPr>
        <w:pStyle w:val="Paragrafoelenco"/>
        <w:numPr>
          <w:ilvl w:val="0"/>
          <w:numId w:val="6"/>
        </w:numPr>
        <w:tabs>
          <w:tab w:val="left" w:pos="567"/>
        </w:tabs>
        <w:spacing w:line="259" w:lineRule="auto"/>
        <w:jc w:val="both"/>
        <w:rPr>
          <w:rFonts w:ascii="Manrope" w:hAnsi="Manrope"/>
          <w:sz w:val="20"/>
          <w:szCs w:val="20"/>
        </w:rPr>
      </w:pPr>
      <w:r w:rsidRPr="003631BD">
        <w:rPr>
          <w:rFonts w:ascii="Manrope" w:hAnsi="Manrope"/>
          <w:sz w:val="20"/>
          <w:szCs w:val="20"/>
        </w:rPr>
        <w:t>di accettare espressamente la nomina di cui sopra;</w:t>
      </w:r>
    </w:p>
    <w:p w14:paraId="603A6363" w14:textId="70C1D259" w:rsidR="008C1BCD" w:rsidRPr="003631BD" w:rsidRDefault="008C1BCD" w:rsidP="00BF5C0E">
      <w:pPr>
        <w:pStyle w:val="Paragrafoelenco"/>
        <w:numPr>
          <w:ilvl w:val="0"/>
          <w:numId w:val="7"/>
        </w:numPr>
        <w:tabs>
          <w:tab w:val="left" w:pos="567"/>
        </w:tabs>
        <w:spacing w:line="259" w:lineRule="auto"/>
        <w:jc w:val="both"/>
        <w:rPr>
          <w:rFonts w:ascii="Manrope" w:hAnsi="Manrope"/>
          <w:sz w:val="20"/>
          <w:szCs w:val="20"/>
        </w:rPr>
      </w:pPr>
      <w:r w:rsidRPr="003631BD">
        <w:rPr>
          <w:rFonts w:ascii="Manrope" w:hAnsi="Manrope"/>
          <w:sz w:val="20"/>
          <w:szCs w:val="20"/>
        </w:rPr>
        <w:t>di non essere nelle condizioni di incompatibilità</w:t>
      </w:r>
      <w:r w:rsidR="00771EFC">
        <w:rPr>
          <w:rFonts w:ascii="Manrope" w:hAnsi="Manrope"/>
          <w:sz w:val="20"/>
          <w:szCs w:val="20"/>
        </w:rPr>
        <w:t xml:space="preserve"> </w:t>
      </w:r>
      <w:r w:rsidRPr="003631BD">
        <w:rPr>
          <w:rFonts w:ascii="Manrope" w:hAnsi="Manrope"/>
          <w:sz w:val="20"/>
          <w:szCs w:val="20"/>
        </w:rPr>
        <w:t>di cui all’art. 4</w:t>
      </w:r>
      <w:bookmarkStart w:id="0" w:name="_Hlk125553280"/>
      <w:r w:rsidRPr="003631BD">
        <w:rPr>
          <w:rFonts w:ascii="Manrope" w:hAnsi="Manrope"/>
          <w:sz w:val="20"/>
          <w:szCs w:val="20"/>
        </w:rPr>
        <w:t xml:space="preserve"> del </w:t>
      </w:r>
      <w:r w:rsidR="00984002">
        <w:rPr>
          <w:rFonts w:ascii="Manrope" w:hAnsi="Manrope"/>
          <w:sz w:val="20"/>
          <w:szCs w:val="20"/>
        </w:rPr>
        <w:t>“</w:t>
      </w:r>
      <w:r w:rsidR="00E14459" w:rsidRPr="00C10A7B">
        <w:rPr>
          <w:rFonts w:ascii="Manrope" w:hAnsi="Manrope"/>
          <w:sz w:val="20"/>
          <w:szCs w:val="20"/>
        </w:rPr>
        <w:t>Regolamento per la definizione dei criteri e delle modalità di nomina delle Commissioni giudicatrici per l’assegnazione di contratti di appalto e concessione nonché di provvedimenti attributivi di vantaggi economici, del Politecnico di Milano</w:t>
      </w:r>
      <w:r w:rsidR="00E14459">
        <w:rPr>
          <w:rFonts w:ascii="Manrope" w:hAnsi="Manrope"/>
          <w:sz w:val="20"/>
          <w:szCs w:val="20"/>
        </w:rPr>
        <w:t>”</w:t>
      </w:r>
      <w:r w:rsidR="00E14459" w:rsidRPr="00C10A7B">
        <w:rPr>
          <w:rFonts w:ascii="Manrope" w:hAnsi="Manrope"/>
          <w:sz w:val="20"/>
          <w:szCs w:val="20"/>
        </w:rPr>
        <w:t xml:space="preserve"> vigente</w:t>
      </w:r>
      <w:r w:rsidR="00EE4277">
        <w:rPr>
          <w:rStyle w:val="Rimandonotadichiusura"/>
          <w:rFonts w:ascii="Manrope" w:hAnsi="Manrope"/>
          <w:sz w:val="20"/>
          <w:szCs w:val="20"/>
        </w:rPr>
        <w:endnoteReference w:id="1"/>
      </w:r>
      <w:r w:rsidRPr="003631BD">
        <w:rPr>
          <w:rFonts w:ascii="Manrope" w:hAnsi="Manrope"/>
          <w:sz w:val="20"/>
          <w:szCs w:val="20"/>
        </w:rPr>
        <w:t>;</w:t>
      </w:r>
    </w:p>
    <w:bookmarkEnd w:id="0"/>
    <w:p w14:paraId="3B03B7E3" w14:textId="74E8EC7A" w:rsidR="008C1BCD" w:rsidRPr="003631BD" w:rsidRDefault="00B34496" w:rsidP="006D3747">
      <w:pPr>
        <w:pStyle w:val="Paragrafoelenco"/>
        <w:numPr>
          <w:ilvl w:val="0"/>
          <w:numId w:val="8"/>
        </w:numPr>
        <w:tabs>
          <w:tab w:val="left" w:pos="567"/>
        </w:tabs>
        <w:spacing w:line="259" w:lineRule="auto"/>
        <w:jc w:val="both"/>
        <w:rPr>
          <w:rFonts w:ascii="Manrope" w:hAnsi="Manrope"/>
          <w:sz w:val="20"/>
          <w:szCs w:val="20"/>
        </w:rPr>
      </w:pPr>
      <w:r>
        <w:rPr>
          <w:rFonts w:ascii="Manrope" w:hAnsi="Manrope"/>
          <w:sz w:val="20"/>
          <w:szCs w:val="20"/>
        </w:rPr>
        <w:t xml:space="preserve">che, </w:t>
      </w:r>
      <w:r w:rsidR="008C1BCD" w:rsidRPr="003631BD">
        <w:rPr>
          <w:rFonts w:ascii="Manrope" w:hAnsi="Manrope"/>
          <w:sz w:val="20"/>
          <w:szCs w:val="20"/>
        </w:rPr>
        <w:t>per quanto a propria conoscenza, non sussistono cause di incompatibilità o conflitto di interesse, rapporto di coniugio o di parentela o di affinità fino al 2° grado compreso, o un rapporto di unioni civili tra persone dello stesso sesso così come regolato dall’art. 1 della Legge 20 maggio 2016, n. 76 oppure essere in stato di convivenza di fatto così come regolato dall’art. 1, commi 37 e ss. della Legge 20 maggio 2016, n. 76, con i titolari, gli amministratori, i soci e i dipendenti degli Operatori economici partecipanti alla procedura;</w:t>
      </w:r>
    </w:p>
    <w:p w14:paraId="18B26106" w14:textId="324CBD7C" w:rsidR="008C1BCD" w:rsidRPr="003631BD" w:rsidRDefault="008C1BCD" w:rsidP="006D3747">
      <w:pPr>
        <w:pStyle w:val="Paragrafoelenco"/>
        <w:numPr>
          <w:ilvl w:val="0"/>
          <w:numId w:val="8"/>
        </w:numPr>
        <w:tabs>
          <w:tab w:val="left" w:pos="567"/>
        </w:tabs>
        <w:spacing w:line="259" w:lineRule="auto"/>
        <w:jc w:val="both"/>
        <w:rPr>
          <w:rFonts w:ascii="Manrope" w:hAnsi="Manrope"/>
          <w:sz w:val="20"/>
          <w:szCs w:val="20"/>
        </w:rPr>
      </w:pPr>
      <w:r w:rsidRPr="003631BD">
        <w:rPr>
          <w:rFonts w:ascii="Manrope" w:hAnsi="Manrope"/>
          <w:sz w:val="20"/>
          <w:szCs w:val="20"/>
        </w:rPr>
        <w:t xml:space="preserve">di non incorrere in alcuna delle ipotesi previste dall’art. 51 </w:t>
      </w:r>
      <w:r w:rsidR="00B34496">
        <w:rPr>
          <w:rFonts w:ascii="Manrope" w:hAnsi="Manrope"/>
          <w:sz w:val="20"/>
          <w:szCs w:val="20"/>
        </w:rPr>
        <w:t xml:space="preserve">del </w:t>
      </w:r>
      <w:r w:rsidRPr="003631BD">
        <w:rPr>
          <w:rFonts w:ascii="Manrope" w:hAnsi="Manrope"/>
          <w:sz w:val="20"/>
          <w:szCs w:val="20"/>
        </w:rPr>
        <w:t>codice di procedura civile</w:t>
      </w:r>
      <w:r w:rsidR="00692A5F">
        <w:rPr>
          <w:rStyle w:val="Rimandonotadichiusura"/>
          <w:rFonts w:ascii="Manrope" w:hAnsi="Manrope"/>
          <w:sz w:val="20"/>
          <w:szCs w:val="20"/>
        </w:rPr>
        <w:endnoteReference w:id="2"/>
      </w:r>
      <w:r w:rsidR="00692A5F">
        <w:rPr>
          <w:rFonts w:ascii="Manrope" w:hAnsi="Manrope"/>
          <w:sz w:val="20"/>
          <w:szCs w:val="20"/>
        </w:rPr>
        <w:t xml:space="preserve"> </w:t>
      </w:r>
      <w:r w:rsidRPr="003631BD">
        <w:rPr>
          <w:rFonts w:ascii="Manrope" w:hAnsi="Manrope"/>
          <w:sz w:val="20"/>
          <w:szCs w:val="20"/>
        </w:rPr>
        <w:t>e che non sussistono comunque gravi ragioni di convenienza che inducono all’astensione dall’incarico;</w:t>
      </w:r>
    </w:p>
    <w:p w14:paraId="0E40E9B1" w14:textId="77777777" w:rsidR="008C1BCD" w:rsidRPr="003631BD" w:rsidRDefault="008C1BCD" w:rsidP="006D3747">
      <w:pPr>
        <w:pStyle w:val="Paragrafoelenco"/>
        <w:numPr>
          <w:ilvl w:val="0"/>
          <w:numId w:val="8"/>
        </w:numPr>
        <w:tabs>
          <w:tab w:val="left" w:pos="567"/>
        </w:tabs>
        <w:spacing w:line="259" w:lineRule="auto"/>
        <w:jc w:val="both"/>
        <w:rPr>
          <w:rFonts w:ascii="Manrope" w:hAnsi="Manrope"/>
          <w:sz w:val="20"/>
          <w:szCs w:val="20"/>
        </w:rPr>
      </w:pPr>
      <w:r w:rsidRPr="003631BD">
        <w:rPr>
          <w:rFonts w:ascii="Manrope" w:hAnsi="Manrope"/>
          <w:sz w:val="20"/>
          <w:szCs w:val="20"/>
        </w:rPr>
        <w:lastRenderedPageBreak/>
        <w:t>di non essere stato condannato, anche con sentenza non passata in giudicato, per i reati previsti nel capo I del titolo II del libro secondo del codice penale;</w:t>
      </w:r>
    </w:p>
    <w:p w14:paraId="6B51DBDA" w14:textId="10C3E204" w:rsidR="008C1BCD" w:rsidRDefault="008C1BCD" w:rsidP="006D3747">
      <w:pPr>
        <w:pStyle w:val="Paragrafoelenco"/>
        <w:numPr>
          <w:ilvl w:val="0"/>
          <w:numId w:val="8"/>
        </w:numPr>
        <w:tabs>
          <w:tab w:val="left" w:pos="567"/>
        </w:tabs>
        <w:spacing w:line="259" w:lineRule="auto"/>
        <w:jc w:val="both"/>
        <w:rPr>
          <w:rFonts w:ascii="Manrope" w:hAnsi="Manrope"/>
          <w:sz w:val="20"/>
          <w:szCs w:val="20"/>
        </w:rPr>
      </w:pPr>
      <w:bookmarkStart w:id="1" w:name="_Hlk125553078"/>
      <w:r w:rsidRPr="003631BD">
        <w:rPr>
          <w:rFonts w:ascii="Manrope" w:hAnsi="Manrope"/>
          <w:sz w:val="20"/>
          <w:szCs w:val="20"/>
        </w:rPr>
        <w:t>di non essere nelle condizioni di incompatibilità di cui</w:t>
      </w:r>
      <w:bookmarkEnd w:id="1"/>
      <w:r w:rsidRPr="003631BD">
        <w:rPr>
          <w:rFonts w:ascii="Manrope" w:hAnsi="Manrope"/>
          <w:sz w:val="20"/>
          <w:szCs w:val="20"/>
        </w:rPr>
        <w:t xml:space="preserve"> alle disposizioni normative Legge 6 novembre 2012, n. 190 </w:t>
      </w:r>
      <w:r w:rsidR="00B34496">
        <w:rPr>
          <w:rFonts w:ascii="Manrope" w:hAnsi="Manrope"/>
          <w:sz w:val="20"/>
          <w:szCs w:val="20"/>
        </w:rPr>
        <w:t xml:space="preserve">e del </w:t>
      </w:r>
      <w:proofErr w:type="spellStart"/>
      <w:r w:rsidRPr="003631BD">
        <w:rPr>
          <w:rFonts w:ascii="Manrope" w:hAnsi="Manrope"/>
          <w:sz w:val="20"/>
          <w:szCs w:val="20"/>
        </w:rPr>
        <w:t>D.Lgs.</w:t>
      </w:r>
      <w:proofErr w:type="spellEnd"/>
      <w:r w:rsidRPr="003631BD">
        <w:rPr>
          <w:rFonts w:ascii="Manrope" w:hAnsi="Manrope"/>
          <w:sz w:val="20"/>
          <w:szCs w:val="20"/>
        </w:rPr>
        <w:t xml:space="preserve"> 8 aprile 2013, n. 39 ai fini della nomina a componente della Commissione giudicatrice della gara in oggetto;</w:t>
      </w:r>
    </w:p>
    <w:p w14:paraId="631C7E0D" w14:textId="4109D086" w:rsidR="00C23607" w:rsidRDefault="00B34496" w:rsidP="006D3747">
      <w:pPr>
        <w:pStyle w:val="Paragrafoelenco"/>
        <w:numPr>
          <w:ilvl w:val="0"/>
          <w:numId w:val="8"/>
        </w:numPr>
        <w:tabs>
          <w:tab w:val="left" w:pos="567"/>
        </w:tabs>
        <w:spacing w:line="259" w:lineRule="auto"/>
        <w:jc w:val="both"/>
        <w:rPr>
          <w:rFonts w:ascii="Manrope" w:hAnsi="Manrope"/>
          <w:sz w:val="20"/>
          <w:szCs w:val="20"/>
        </w:rPr>
      </w:pPr>
      <w:r>
        <w:rPr>
          <w:rFonts w:ascii="Manrope" w:hAnsi="Manrope"/>
          <w:sz w:val="20"/>
          <w:szCs w:val="20"/>
        </w:rPr>
        <w:t xml:space="preserve">che </w:t>
      </w:r>
      <w:r w:rsidR="00C23607" w:rsidRPr="00C10A7B">
        <w:rPr>
          <w:rFonts w:ascii="Manrope" w:hAnsi="Manrope"/>
          <w:sz w:val="20"/>
          <w:szCs w:val="20"/>
        </w:rPr>
        <w:t>non sussistono cause di incompatibilità e di astensione di cui all’art. 35-bis del D.lgs</w:t>
      </w:r>
      <w:r w:rsidR="00D36D23">
        <w:rPr>
          <w:rFonts w:ascii="Manrope" w:hAnsi="Manrope"/>
          <w:sz w:val="20"/>
          <w:szCs w:val="20"/>
        </w:rPr>
        <w:t>.</w:t>
      </w:r>
      <w:r w:rsidR="00C23607" w:rsidRPr="00C10A7B">
        <w:rPr>
          <w:rFonts w:ascii="Manrope" w:hAnsi="Manrope"/>
          <w:sz w:val="20"/>
          <w:szCs w:val="20"/>
        </w:rPr>
        <w:t xml:space="preserve"> 30 mar</w:t>
      </w:r>
      <w:r w:rsidR="00D36D23">
        <w:rPr>
          <w:rFonts w:ascii="Manrope" w:hAnsi="Manrope"/>
          <w:sz w:val="20"/>
          <w:szCs w:val="20"/>
        </w:rPr>
        <w:t>z</w:t>
      </w:r>
      <w:r w:rsidR="00C23607" w:rsidRPr="00C10A7B">
        <w:rPr>
          <w:rFonts w:ascii="Manrope" w:hAnsi="Manrope"/>
          <w:sz w:val="20"/>
          <w:szCs w:val="20"/>
        </w:rPr>
        <w:t xml:space="preserve">o 2001 n. 165 e </w:t>
      </w:r>
      <w:r w:rsidR="00D36D23">
        <w:rPr>
          <w:rFonts w:ascii="Manrope" w:hAnsi="Manrope"/>
          <w:sz w:val="20"/>
          <w:szCs w:val="20"/>
        </w:rPr>
        <w:t>all’</w:t>
      </w:r>
      <w:r w:rsidR="00C23607" w:rsidRPr="00C10A7B">
        <w:rPr>
          <w:rFonts w:ascii="Manrope" w:hAnsi="Manrope"/>
          <w:sz w:val="20"/>
          <w:szCs w:val="20"/>
        </w:rPr>
        <w:t xml:space="preserve">art. 16 del </w:t>
      </w:r>
      <w:proofErr w:type="spellStart"/>
      <w:r w:rsidR="00C23607" w:rsidRPr="00C10A7B">
        <w:rPr>
          <w:rFonts w:ascii="Manrope" w:hAnsi="Manrope"/>
          <w:sz w:val="20"/>
          <w:szCs w:val="20"/>
        </w:rPr>
        <w:t>D.Lgs.</w:t>
      </w:r>
      <w:proofErr w:type="spellEnd"/>
      <w:r w:rsidR="00C23607" w:rsidRPr="00C10A7B">
        <w:rPr>
          <w:rFonts w:ascii="Manrope" w:hAnsi="Manrope"/>
          <w:sz w:val="20"/>
          <w:szCs w:val="20"/>
        </w:rPr>
        <w:t xml:space="preserve"> 31 marzo 2023, n. 36</w:t>
      </w:r>
      <w:r w:rsidR="009154D9">
        <w:rPr>
          <w:rStyle w:val="Rimandonotadichiusura"/>
          <w:rFonts w:ascii="Manrope" w:hAnsi="Manrope"/>
          <w:sz w:val="20"/>
          <w:szCs w:val="20"/>
        </w:rPr>
        <w:endnoteReference w:id="3"/>
      </w:r>
    </w:p>
    <w:p w14:paraId="35B7C4AF" w14:textId="0886EADB" w:rsidR="00C23607" w:rsidRPr="009154D9" w:rsidRDefault="009154D9" w:rsidP="006D3747">
      <w:pPr>
        <w:pStyle w:val="Paragrafoelenco"/>
        <w:numPr>
          <w:ilvl w:val="0"/>
          <w:numId w:val="8"/>
        </w:numPr>
        <w:jc w:val="both"/>
        <w:rPr>
          <w:rFonts w:ascii="Manrope" w:hAnsi="Manrope"/>
          <w:sz w:val="20"/>
          <w:szCs w:val="20"/>
        </w:rPr>
      </w:pPr>
      <w:r w:rsidRPr="009154D9">
        <w:rPr>
          <w:rFonts w:ascii="Manrope" w:hAnsi="Manrope"/>
          <w:sz w:val="20"/>
          <w:szCs w:val="20"/>
        </w:rPr>
        <w:t xml:space="preserve">di conoscere il Codice etico e di comportamento del Politecnico di Milano (reperibile al seguente link: </w:t>
      </w:r>
      <w:hyperlink r:id="rId8" w:history="1">
        <w:r w:rsidRPr="005F6E51">
          <w:rPr>
            <w:rStyle w:val="Collegamentoipertestuale"/>
            <w:rFonts w:ascii="Manrope" w:hAnsi="Manrope"/>
            <w:sz w:val="20"/>
            <w:szCs w:val="20"/>
          </w:rPr>
          <w:t>Codice etico</w:t>
        </w:r>
      </w:hyperlink>
      <w:r w:rsidRPr="009154D9">
        <w:rPr>
          <w:rFonts w:ascii="Manrope" w:hAnsi="Manrope"/>
          <w:sz w:val="20"/>
          <w:szCs w:val="20"/>
        </w:rPr>
        <w:t xml:space="preserve">) e il Piano integrato di attività e organizzazione vigenti (reperibile al seguente link: </w:t>
      </w:r>
      <w:hyperlink r:id="rId9" w:history="1">
        <w:r w:rsidRPr="006F1B75">
          <w:rPr>
            <w:rStyle w:val="Collegamentoipertestuale"/>
            <w:rFonts w:ascii="Manrope" w:hAnsi="Manrope"/>
            <w:sz w:val="20"/>
            <w:szCs w:val="20"/>
          </w:rPr>
          <w:t>PIAO</w:t>
        </w:r>
      </w:hyperlink>
      <w:r w:rsidRPr="009154D9">
        <w:rPr>
          <w:rFonts w:ascii="Manrope" w:hAnsi="Manrope"/>
          <w:sz w:val="20"/>
          <w:szCs w:val="20"/>
        </w:rPr>
        <w:t>);</w:t>
      </w:r>
    </w:p>
    <w:p w14:paraId="0C8ACED7" w14:textId="5C9E45BA" w:rsidR="009154D9" w:rsidRDefault="008C1BCD" w:rsidP="006D3747">
      <w:pPr>
        <w:pStyle w:val="Paragrafoelenco"/>
        <w:numPr>
          <w:ilvl w:val="0"/>
          <w:numId w:val="8"/>
        </w:numPr>
        <w:tabs>
          <w:tab w:val="left" w:pos="567"/>
        </w:tabs>
        <w:spacing w:line="259" w:lineRule="auto"/>
        <w:jc w:val="both"/>
        <w:rPr>
          <w:rFonts w:ascii="Manrope" w:hAnsi="Manrope"/>
          <w:sz w:val="20"/>
          <w:szCs w:val="20"/>
        </w:rPr>
      </w:pPr>
      <w:r w:rsidRPr="003631BD">
        <w:rPr>
          <w:rFonts w:ascii="Manrope" w:hAnsi="Manrope"/>
          <w:sz w:val="20"/>
          <w:szCs w:val="20"/>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al Responsabile della prevenzione della corruzione e della trasparenza di Ateneo (</w:t>
      </w:r>
      <w:hyperlink r:id="rId10" w:history="1">
        <w:r w:rsidRPr="00BF5C0E">
          <w:rPr>
            <w:rStyle w:val="Collegamentoipertestuale"/>
            <w:rFonts w:ascii="Manrope" w:hAnsi="Manrope"/>
            <w:color w:val="auto"/>
            <w:sz w:val="20"/>
            <w:szCs w:val="20"/>
            <w:u w:val="none"/>
          </w:rPr>
          <w:t>anticorruzione@polimi.it</w:t>
        </w:r>
      </w:hyperlink>
      <w:r w:rsidRPr="003631BD">
        <w:rPr>
          <w:rFonts w:ascii="Manrope" w:hAnsi="Manrope"/>
          <w:sz w:val="20"/>
          <w:szCs w:val="20"/>
        </w:rPr>
        <w:t>);</w:t>
      </w:r>
    </w:p>
    <w:p w14:paraId="5639B573" w14:textId="0DB24EEF" w:rsidR="008C1BCD" w:rsidRPr="009154D9" w:rsidRDefault="008C1BCD" w:rsidP="006D3747">
      <w:pPr>
        <w:pStyle w:val="Paragrafoelenco"/>
        <w:numPr>
          <w:ilvl w:val="0"/>
          <w:numId w:val="8"/>
        </w:numPr>
        <w:tabs>
          <w:tab w:val="left" w:pos="567"/>
        </w:tabs>
        <w:spacing w:line="259" w:lineRule="auto"/>
        <w:jc w:val="both"/>
        <w:rPr>
          <w:rFonts w:ascii="Manrope" w:hAnsi="Manrope"/>
          <w:sz w:val="20"/>
          <w:szCs w:val="20"/>
        </w:rPr>
      </w:pPr>
      <w:r w:rsidRPr="009154D9">
        <w:rPr>
          <w:rFonts w:ascii="Manrope" w:hAnsi="Manrope" w:cs="Frank Ruhl Libre"/>
          <w:sz w:val="20"/>
          <w:szCs w:val="20"/>
        </w:rPr>
        <w:t>di essere informato che, ai sensi e per gli effetti di cui al Regolamento UE n. 679/2016 (o GDPR), i propri dati personali sono trattati esclusivamente per gli adempimenti documentali e il soddisfacimento dei requisiti normativi connessi alla procedura di gara e nell’ambito del procedimento per il quale la presente dichiarazione viene resa, secondo quanto previsto nella Informativa ex art. 13 del GDPR, consultabile al seguente link:</w:t>
      </w:r>
      <w:r w:rsidR="00A235BF" w:rsidRPr="009154D9">
        <w:rPr>
          <w:rFonts w:ascii="Manrope" w:hAnsi="Manrope" w:cs="Frank Ruhl Libre"/>
          <w:sz w:val="20"/>
          <w:szCs w:val="20"/>
        </w:rPr>
        <w:t xml:space="preserve"> </w:t>
      </w:r>
      <w:hyperlink r:id="rId11" w:history="1">
        <w:r w:rsidR="00B539D4" w:rsidRPr="009154D9">
          <w:rPr>
            <w:rFonts w:ascii="Manrope" w:hAnsi="Manrope" w:cs="Frank Ruhl Libre"/>
            <w:color w:val="0563C1" w:themeColor="hyperlink"/>
            <w:sz w:val="20"/>
            <w:szCs w:val="20"/>
            <w:u w:val="single"/>
          </w:rPr>
          <w:t>Informativa privacy</w:t>
        </w:r>
      </w:hyperlink>
      <w:r w:rsidR="00B539D4" w:rsidRPr="009154D9">
        <w:rPr>
          <w:rFonts w:ascii="Manrope" w:hAnsi="Manrope" w:cs="Frank Ruhl Libre"/>
          <w:sz w:val="20"/>
          <w:szCs w:val="20"/>
        </w:rPr>
        <w:t>;</w:t>
      </w:r>
    </w:p>
    <w:p w14:paraId="45BB7616" w14:textId="77777777" w:rsidR="008C1BCD" w:rsidRPr="003631BD" w:rsidRDefault="008C1BCD" w:rsidP="008C1BCD">
      <w:pPr>
        <w:jc w:val="both"/>
        <w:rPr>
          <w:rFonts w:ascii="Manrope" w:hAnsi="Manrope"/>
          <w:sz w:val="20"/>
          <w:szCs w:val="20"/>
        </w:rPr>
      </w:pPr>
    </w:p>
    <w:p w14:paraId="43AE0B06" w14:textId="77777777" w:rsidR="008C1BCD" w:rsidRPr="003631BD" w:rsidRDefault="008C1BCD" w:rsidP="008C1BCD">
      <w:pPr>
        <w:jc w:val="both"/>
        <w:rPr>
          <w:rFonts w:ascii="Manrope" w:hAnsi="Manrope"/>
          <w:sz w:val="20"/>
          <w:szCs w:val="20"/>
        </w:rPr>
      </w:pPr>
    </w:p>
    <w:p w14:paraId="06E9C7A4" w14:textId="4EAF00A7" w:rsidR="008C1BCD" w:rsidRPr="00692A5F" w:rsidRDefault="00692A5F" w:rsidP="00692A5F">
      <w:pPr>
        <w:tabs>
          <w:tab w:val="left" w:pos="6237"/>
          <w:tab w:val="left" w:pos="6804"/>
        </w:tabs>
        <w:jc w:val="right"/>
        <w:rPr>
          <w:rFonts w:ascii="Manrope" w:hAnsi="Manrope"/>
          <w:i/>
          <w:iCs/>
          <w:sz w:val="16"/>
          <w:szCs w:val="16"/>
        </w:rPr>
      </w:pPr>
      <w:r w:rsidRPr="00692A5F">
        <w:rPr>
          <w:rFonts w:ascii="Manrope" w:hAnsi="Manrope"/>
          <w:i/>
          <w:iCs/>
          <w:sz w:val="16"/>
          <w:szCs w:val="16"/>
        </w:rPr>
        <w:t>Firmato digitalmente ai sensi della normativa vigente</w:t>
      </w:r>
    </w:p>
    <w:p w14:paraId="519C859D" w14:textId="77777777" w:rsidR="008C1BCD" w:rsidRPr="003631BD" w:rsidRDefault="008C1BCD" w:rsidP="008C1BCD">
      <w:pPr>
        <w:tabs>
          <w:tab w:val="left" w:pos="6237"/>
          <w:tab w:val="left" w:pos="6804"/>
        </w:tabs>
        <w:jc w:val="center"/>
        <w:rPr>
          <w:rFonts w:ascii="Manrope" w:hAnsi="Manrope"/>
          <w:sz w:val="20"/>
          <w:szCs w:val="20"/>
        </w:rPr>
      </w:pPr>
    </w:p>
    <w:p w14:paraId="7CBECA39" w14:textId="77777777" w:rsidR="008C1BCD" w:rsidRPr="003631BD" w:rsidRDefault="008C1BCD" w:rsidP="008C1BCD">
      <w:pPr>
        <w:tabs>
          <w:tab w:val="left" w:pos="6237"/>
          <w:tab w:val="left" w:pos="6804"/>
        </w:tabs>
        <w:jc w:val="center"/>
        <w:rPr>
          <w:rFonts w:ascii="Manrope" w:hAnsi="Manrope"/>
          <w:sz w:val="20"/>
          <w:szCs w:val="20"/>
        </w:rPr>
      </w:pPr>
    </w:p>
    <w:p w14:paraId="5C4C272C" w14:textId="553607A0" w:rsidR="008C1BCD" w:rsidRPr="00692A5F" w:rsidRDefault="008C1BCD" w:rsidP="00692A5F">
      <w:pPr>
        <w:rPr>
          <w:rFonts w:ascii="Manrope" w:hAnsi="Manrope"/>
          <w:sz w:val="20"/>
          <w:szCs w:val="20"/>
        </w:rPr>
      </w:pPr>
      <w:r w:rsidRPr="003631BD">
        <w:rPr>
          <w:rFonts w:ascii="Manrope" w:hAnsi="Manrope"/>
          <w:sz w:val="20"/>
          <w:szCs w:val="20"/>
        </w:rPr>
        <w:br w:type="page"/>
      </w:r>
    </w:p>
    <w:p w14:paraId="36FD39DC" w14:textId="77777777" w:rsidR="00162E69" w:rsidRPr="003631BD" w:rsidRDefault="00162E69">
      <w:pPr>
        <w:rPr>
          <w:rFonts w:ascii="Manrope" w:hAnsi="Manrope"/>
          <w:sz w:val="20"/>
          <w:szCs w:val="20"/>
        </w:rPr>
      </w:pPr>
    </w:p>
    <w:sectPr w:rsidR="00162E69" w:rsidRPr="003631BD" w:rsidSect="00D50B92">
      <w:headerReference w:type="default" r:id="rId12"/>
      <w:footerReference w:type="default" r:id="rId13"/>
      <w:pgSz w:w="11906" w:h="16838"/>
      <w:pgMar w:top="1417" w:right="1134" w:bottom="1134" w:left="1134" w:header="65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D5F2" w14:textId="77777777" w:rsidR="005260CC" w:rsidRDefault="005260CC" w:rsidP="008C1BCD">
      <w:r>
        <w:separator/>
      </w:r>
    </w:p>
  </w:endnote>
  <w:endnote w:type="continuationSeparator" w:id="0">
    <w:p w14:paraId="7C819FB7" w14:textId="77777777" w:rsidR="005260CC" w:rsidRDefault="005260CC" w:rsidP="008C1BCD">
      <w:r>
        <w:continuationSeparator/>
      </w:r>
    </w:p>
  </w:endnote>
  <w:endnote w:id="1">
    <w:p w14:paraId="34D174AB" w14:textId="7FA62075" w:rsidR="00EE4277" w:rsidRPr="00EE4277" w:rsidRDefault="00EE4277" w:rsidP="00EE4277">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t xml:space="preserve"> </w:t>
      </w:r>
      <w:r w:rsidR="005F60AA" w:rsidRPr="005F60AA">
        <w:rPr>
          <w:rStyle w:val="Collegamentoipertestuale"/>
          <w:rFonts w:ascii="Manrope" w:hAnsi="Manrope"/>
          <w:sz w:val="16"/>
          <w:szCs w:val="16"/>
        </w:rPr>
        <w:t xml:space="preserve">Art. 4 </w:t>
      </w:r>
      <w:hyperlink r:id="rId1" w:history="1">
        <w:r w:rsidRPr="00EE4277">
          <w:rPr>
            <w:rStyle w:val="Collegamentoipertestuale"/>
            <w:rFonts w:ascii="Manrope" w:hAnsi="Manrope"/>
            <w:sz w:val="16"/>
            <w:szCs w:val="16"/>
          </w:rPr>
          <w:t xml:space="preserve">Regolamento per la definizione dei criteri e delle modalità di nomina delle Commissioni giudicatrici per l’assegnazione di contratti di appalto e concessione nonché di provvedimenti attributivi di vantaggi economici </w:t>
        </w:r>
      </w:hyperlink>
    </w:p>
    <w:p w14:paraId="6275A0E1" w14:textId="1C3A650F" w:rsidR="00EE4277" w:rsidRPr="00EE4277" w:rsidRDefault="00EE4277" w:rsidP="00EE4277">
      <w:pPr>
        <w:tabs>
          <w:tab w:val="left" w:pos="6237"/>
          <w:tab w:val="left" w:pos="6804"/>
        </w:tabs>
        <w:jc w:val="both"/>
        <w:rPr>
          <w:rFonts w:ascii="Manrope" w:hAnsi="Manrope"/>
          <w:i/>
          <w:iCs/>
          <w:sz w:val="16"/>
          <w:szCs w:val="16"/>
        </w:rPr>
      </w:pPr>
      <w:r>
        <w:rPr>
          <w:rFonts w:ascii="Manrope" w:hAnsi="Manrope"/>
          <w:i/>
          <w:iCs/>
          <w:sz w:val="16"/>
          <w:szCs w:val="16"/>
        </w:rPr>
        <w:t>“</w:t>
      </w:r>
      <w:r w:rsidRPr="00EE4277">
        <w:rPr>
          <w:rFonts w:ascii="Manrope" w:hAnsi="Manrope"/>
          <w:i/>
          <w:iCs/>
          <w:sz w:val="16"/>
          <w:szCs w:val="16"/>
        </w:rPr>
        <w:t xml:space="preserve">1) Non possono far parte delle Commissioni Giudicatrici: </w:t>
      </w:r>
    </w:p>
    <w:p w14:paraId="55A9D2FF"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a) coloro per i quali sussistono cause di incompatibilità o conflitto di interesse, rapporto di coniugio, di parentela o di affinità sino al quarto grado compreso con i titolari, gli amministratori, i soci e i dipendenti delle ditte partecipanti alla procedura; </w:t>
      </w:r>
    </w:p>
    <w:p w14:paraId="6F1052C1"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b) coloro i quali sono stati condannati, anche con sentenza non passata in giudicato, per i reati previsti nel capo I del titolo II del libro secondo del codice penale; </w:t>
      </w:r>
    </w:p>
    <w:p w14:paraId="6043B95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c) coloro i quali nel biennio precedente alla data della determina a contrarre per la gara hanno rivestito cariche di pubblico amministratore, non possono essere nominati commissari relativamente a contratti affidati dalle amministrazioni presso le quali hanno prestato servizio; </w:t>
      </w:r>
    </w:p>
    <w:p w14:paraId="21290E0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d) coloro i quali si trovano nelle cause di astensione previste dall’articolo 51 del codice di procedura civile; </w:t>
      </w:r>
    </w:p>
    <w:p w14:paraId="3F0AEAF8"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e) coloro i quali hanno interesse di qualsiasi genere rispetto ad una delle imprese partecipanti o se egli stesso o il coniuge è parente fino al quarto grado o legato da vincoli di affiliazione, o è convivente o commensale abituale di amministratori, procuratori o dirigenti di una delle imprese partecipanti;</w:t>
      </w:r>
    </w:p>
    <w:p w14:paraId="20E5053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f) coloro i quali hanno causa pendente o grave inimicizia o rapporti di credito o debito con una delle imprese partecipanti o i suoi amministratori, procuratori o dirigenti; </w:t>
      </w:r>
    </w:p>
    <w:p w14:paraId="0D04B4CB"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g) coloro i quali hanno prestato attività lavorativa o di consulenza presso una delle imprese partecipanti nel triennio precedente alla data della determina a contrarre. Tale divieto si estende anche a coloro che abbiano effettivamente preso parte a contratti e convenzioni per </w:t>
      </w:r>
    </w:p>
    <w:p w14:paraId="089885A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prestazioni in collaborazione e per conto terzi, stipulati con l’Ateneo da imprese partecipanti.</w:t>
      </w:r>
    </w:p>
    <w:p w14:paraId="5E4AEF3D"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2) Non possono altresì far parte delle Commissioni il personale docente ed il personale tecnico-amministrativo che fanno parte, anche come uditori, del Senato accademico o del Consiglio di amministrazione.</w:t>
      </w:r>
    </w:p>
    <w:p w14:paraId="7BC8E62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3) Non possono comunque assumere le funzioni di commissario o di segretario verbalizzante:</w:t>
      </w:r>
    </w:p>
    <w:p w14:paraId="65315A33"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a) il Direttore dell’Esecuzione del Contratto;</w:t>
      </w:r>
    </w:p>
    <w:p w14:paraId="315E4B0B"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b) i Dirigenti, i Direttori di Dipartimento, i Prorettori di Polo, e i Responsabili Gestionali, relativamente alle procedure proposte o di interesse della propria struttura di afferenza; </w:t>
      </w:r>
    </w:p>
    <w:p w14:paraId="0971A9C9"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c) i Capi Servizio relativamente alle procedure proposte o di interesse del proprio Servizio; </w:t>
      </w:r>
    </w:p>
    <w:p w14:paraId="688B2DC1"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d) il Dirigente dell’Area e il Capo del Servizio, con il relativo personale ivi afferente, deputati per determina del Direttore Generale, allo svolgimento delle procedure amministrative relative a gare d’appalto e lavori e di acquisizione di beni e servizi;</w:t>
      </w:r>
    </w:p>
    <w:p w14:paraId="3E67259F" w14:textId="6FE856C8"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4) Il personale afferente all’Area dirigenziale che, per determinazione del Direttore Generale, è deputato allo svolgimento delle procedure amministrative relative a gare d’appalto e lavori e di acquisizione di beni e servizi nonché il personale che compone la segreteria tecnica del Responsabile della prevenzione della corruzione e della trasparenza dell’Ateneo, non può essere componente della Commissione di gara ma può svolgere le funzioni di Segretario verbalizzante.</w:t>
      </w:r>
      <w:r>
        <w:rPr>
          <w:rFonts w:ascii="Manrope" w:hAnsi="Manrope"/>
          <w:i/>
          <w:iCs/>
          <w:sz w:val="16"/>
          <w:szCs w:val="16"/>
        </w:rPr>
        <w:t>”</w:t>
      </w:r>
    </w:p>
    <w:p w14:paraId="26DEFA61" w14:textId="161B1CCE" w:rsidR="00EE4277" w:rsidRDefault="00EE4277">
      <w:pPr>
        <w:pStyle w:val="Testonotadichiusura"/>
      </w:pPr>
    </w:p>
  </w:endnote>
  <w:endnote w:id="2">
    <w:p w14:paraId="6A5FD78D" w14:textId="77777777" w:rsidR="00692A5F" w:rsidRPr="00692A5F" w:rsidRDefault="00692A5F" w:rsidP="00692A5F">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rsidRPr="00EC542F">
        <w:rPr>
          <w:rFonts w:ascii="Manrope" w:hAnsi="Manrope"/>
        </w:rPr>
        <w:t xml:space="preserve"> </w:t>
      </w:r>
      <w:hyperlink r:id="rId2" w:history="1">
        <w:r w:rsidRPr="00692A5F">
          <w:rPr>
            <w:rStyle w:val="Collegamentoipertestuale"/>
            <w:rFonts w:ascii="Manrope" w:hAnsi="Manrope"/>
            <w:sz w:val="16"/>
            <w:szCs w:val="16"/>
          </w:rPr>
          <w:t>Art. 51 “Astensione del giudice” del Codice di procedura civile</w:t>
        </w:r>
      </w:hyperlink>
    </w:p>
    <w:p w14:paraId="79DD3C0C"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Il giudice ha l'obbligo di astenersi: </w:t>
      </w:r>
    </w:p>
    <w:p w14:paraId="375593EB"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1) se ha interesse nella causa o in altra vertente su identica questione di diritto; </w:t>
      </w:r>
    </w:p>
    <w:p w14:paraId="69186613"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2) se egli stesso o la moglie è parente fino al quarto grado o legato da vincoli di affiliazione, o è convivente o commensale abituale di una delle parti o di alcuno dei difensori; </w:t>
      </w:r>
    </w:p>
    <w:p w14:paraId="6810E095"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3) se egli stesso o la moglie ha causa pendente o grave inimicizia o rapporti di credito o debito con una delle parti o alcuno dei suoi difensori; </w:t>
      </w:r>
    </w:p>
    <w:p w14:paraId="6A84B3BB"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4) se ha dato consiglio o prestato patrocinio nella causa, o ha deposto in essa come testimone, oppure ne ha conosciuto come magistrato in altro grado del processo o come arbitro o vi ha prestato assistenza come consulente tecnico; </w:t>
      </w:r>
    </w:p>
    <w:p w14:paraId="3360957D" w14:textId="78250C19"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5)  se è tutore, curatore </w:t>
      </w:r>
      <w:r w:rsidRPr="00692A5F">
        <w:rPr>
          <w:rFonts w:ascii="Manrope" w:hAnsi="Manrope"/>
          <w:bCs/>
          <w:i/>
          <w:iCs/>
          <w:sz w:val="16"/>
          <w:szCs w:val="16"/>
        </w:rPr>
        <w:t>((amministratore di sostegno))</w:t>
      </w:r>
      <w:r w:rsidRPr="00692A5F">
        <w:rPr>
          <w:rFonts w:ascii="Manrope" w:hAnsi="Manrope"/>
          <w:i/>
          <w:iCs/>
          <w:sz w:val="16"/>
          <w:szCs w:val="16"/>
        </w:rPr>
        <w:t xml:space="preserve">, procuratore, agente o datore di lavoro di una delle parti; se, inoltre, è amministratore o gerente di un ente, di un'associazione anche non riconosciuta, di un comitato, di   una   società   o stabilimento che ha interesse nella causa. </w:t>
      </w:r>
    </w:p>
    <w:p w14:paraId="7355E002" w14:textId="05976106"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In ogni altro caso in cui esistono gravi ragioni di convenienza, il giudice può richiedere al capo dell'ufficio l'autorizzazione ad astenersi; quando l'astensione riguarda il   capo   dell'ufficio, l'autorizzazione è chiesta al capo dell'ufficio superiore. </w:t>
      </w:r>
    </w:p>
    <w:p w14:paraId="46837A08" w14:textId="407FA656" w:rsidR="00692A5F" w:rsidRDefault="00692A5F">
      <w:pPr>
        <w:pStyle w:val="Testonotadichiusura"/>
      </w:pPr>
    </w:p>
  </w:endnote>
  <w:endnote w:id="3">
    <w:p w14:paraId="0122FB12" w14:textId="40DFEE99" w:rsidR="004E1EF9" w:rsidRPr="004E1EF9" w:rsidRDefault="009154D9" w:rsidP="004E1EF9">
      <w:pPr>
        <w:tabs>
          <w:tab w:val="left" w:pos="6237"/>
          <w:tab w:val="left" w:pos="6804"/>
        </w:tabs>
        <w:jc w:val="both"/>
        <w:rPr>
          <w:rFonts w:ascii="Manrope" w:hAnsi="Manrope"/>
          <w:sz w:val="16"/>
          <w:szCs w:val="16"/>
        </w:rPr>
      </w:pPr>
      <w:r w:rsidRPr="004E1EF9">
        <w:rPr>
          <w:rStyle w:val="Rimandonotadichiusura"/>
          <w:rFonts w:ascii="Manrope" w:hAnsi="Manrope"/>
        </w:rPr>
        <w:endnoteRef/>
      </w:r>
      <w:r>
        <w:t xml:space="preserve"> </w:t>
      </w:r>
      <w:hyperlink r:id="rId3" w:history="1">
        <w:r w:rsidR="005B047B">
          <w:rPr>
            <w:rStyle w:val="Collegamentoipertestuale"/>
            <w:rFonts w:ascii="Manrope" w:hAnsi="Manrope"/>
            <w:sz w:val="16"/>
            <w:szCs w:val="16"/>
          </w:rPr>
          <w:t>A</w:t>
        </w:r>
        <w:r w:rsidR="004E1EF9" w:rsidRPr="004E1EF9">
          <w:rPr>
            <w:rStyle w:val="Collegamentoipertestuale"/>
            <w:rFonts w:ascii="Manrope" w:hAnsi="Manrope"/>
            <w:sz w:val="16"/>
            <w:szCs w:val="16"/>
          </w:rPr>
          <w:t xml:space="preserve">rticolo </w:t>
        </w:r>
        <w:r w:rsidR="004E1EF9" w:rsidRPr="004E1EF9">
          <w:rPr>
            <w:rStyle w:val="Collegamentoipertestuale"/>
            <w:rFonts w:ascii="Manrope" w:hAnsi="Manrope"/>
            <w:i/>
            <w:iCs/>
            <w:sz w:val="16"/>
            <w:szCs w:val="16"/>
          </w:rPr>
          <w:t>35-bis</w:t>
        </w:r>
        <w:r w:rsidR="004E1EF9" w:rsidRPr="004E1EF9">
          <w:rPr>
            <w:rStyle w:val="Collegamentoipertestuale"/>
            <w:rFonts w:ascii="Manrope" w:hAnsi="Manrope"/>
            <w:sz w:val="16"/>
            <w:szCs w:val="16"/>
          </w:rPr>
          <w:t xml:space="preserve"> </w:t>
        </w:r>
        <w:r w:rsidR="005B047B">
          <w:rPr>
            <w:rStyle w:val="Collegamentoipertestuale"/>
            <w:rFonts w:ascii="Manrope" w:hAnsi="Manrope"/>
            <w:sz w:val="16"/>
            <w:szCs w:val="16"/>
          </w:rPr>
          <w:t xml:space="preserve"> D.lgs. 165/2001 </w:t>
        </w:r>
        <w:r w:rsidR="004E1EF9" w:rsidRPr="004E1EF9">
          <w:rPr>
            <w:rStyle w:val="Collegamentoipertestuale"/>
            <w:rFonts w:ascii="Manrope" w:hAnsi="Manrope"/>
            <w:sz w:val="16"/>
            <w:szCs w:val="16"/>
          </w:rPr>
          <w:t xml:space="preserve">“Prevenzione del fenomeno della corruzione  nella  formazione  di commissioni e nelle assegnazioni agli uffici” </w:t>
        </w:r>
      </w:hyperlink>
    </w:p>
    <w:p w14:paraId="3606976A"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Coloro che sono stati condannati, anche con sentenza non passata in giudicato, per i reati previsti nel capo I del titolo II del libro secondo del codice penale:</w:t>
      </w:r>
      <w:r w:rsidRPr="004E1EF9">
        <w:rPr>
          <w:rFonts w:ascii="Manrope" w:hAnsi="Manrope"/>
          <w:i/>
          <w:iCs/>
          <w:sz w:val="16"/>
          <w:szCs w:val="16"/>
          <w:u w:val="single"/>
        </w:rPr>
        <w:t xml:space="preserve"> </w:t>
      </w:r>
    </w:p>
    <w:p w14:paraId="35EB87FD"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a) non possono fare parte, anche con compiti di segreteria, di commissioni per l'accesso o la selezione a pubblici impieghi;</w:t>
      </w:r>
      <w:r w:rsidRPr="004E1EF9">
        <w:rPr>
          <w:rFonts w:ascii="Manrope" w:hAnsi="Manrope"/>
          <w:i/>
          <w:iCs/>
          <w:sz w:val="16"/>
          <w:szCs w:val="16"/>
          <w:u w:val="single"/>
        </w:rPr>
        <w:t xml:space="preserve"> </w:t>
      </w:r>
    </w:p>
    <w:p w14:paraId="27CCC8FB"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r w:rsidRPr="004E1EF9">
        <w:rPr>
          <w:rFonts w:ascii="Manrope" w:hAnsi="Manrope"/>
          <w:i/>
          <w:iCs/>
          <w:sz w:val="16"/>
          <w:szCs w:val="16"/>
          <w:u w:val="single"/>
        </w:rPr>
        <w:t xml:space="preserve"> </w:t>
      </w:r>
    </w:p>
    <w:p w14:paraId="76471760"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Pr="004E1EF9">
        <w:rPr>
          <w:rFonts w:ascii="Manrope" w:hAnsi="Manrope"/>
          <w:i/>
          <w:iCs/>
          <w:sz w:val="16"/>
          <w:szCs w:val="16"/>
          <w:u w:val="single"/>
        </w:rPr>
        <w:t xml:space="preserve"> </w:t>
      </w:r>
    </w:p>
    <w:p w14:paraId="2058C80C"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2.  La disposizione prevista al comma 1 integra le leggi e regolamenti che disciplinano la formazione di commissioni e la nomina dei relativi segretari</w:t>
      </w:r>
    </w:p>
    <w:p w14:paraId="08FF25BE" w14:textId="29A5884A" w:rsidR="004E1EF9" w:rsidRPr="004E1EF9" w:rsidRDefault="005809E9" w:rsidP="004E1EF9">
      <w:pPr>
        <w:tabs>
          <w:tab w:val="left" w:pos="6237"/>
          <w:tab w:val="left" w:pos="6804"/>
        </w:tabs>
        <w:jc w:val="both"/>
        <w:rPr>
          <w:rFonts w:ascii="Manrope" w:hAnsi="Manrope"/>
          <w:sz w:val="16"/>
          <w:szCs w:val="16"/>
          <w:u w:val="single"/>
        </w:rPr>
      </w:pPr>
      <w:hyperlink r:id="rId4" w:history="1">
        <w:r w:rsidR="004E1EF9" w:rsidRPr="004E1EF9">
          <w:rPr>
            <w:rStyle w:val="Collegamentoipertestuale"/>
            <w:rFonts w:ascii="Manrope" w:hAnsi="Manrope"/>
            <w:sz w:val="16"/>
            <w:szCs w:val="16"/>
          </w:rPr>
          <w:t>Art. 16</w:t>
        </w:r>
        <w:r w:rsidR="005B047B">
          <w:rPr>
            <w:rStyle w:val="Collegamentoipertestuale"/>
            <w:rFonts w:ascii="Manrope" w:hAnsi="Manrope"/>
            <w:sz w:val="16"/>
            <w:szCs w:val="16"/>
          </w:rPr>
          <w:t xml:space="preserve"> D.lgs. 36/2023</w:t>
        </w:r>
        <w:r w:rsidR="004E1EF9" w:rsidRPr="004E1EF9">
          <w:rPr>
            <w:rStyle w:val="Collegamentoipertestuale"/>
            <w:rFonts w:ascii="Manrope" w:hAnsi="Manrope"/>
            <w:sz w:val="16"/>
            <w:szCs w:val="16"/>
          </w:rPr>
          <w:t xml:space="preserve"> “Conflitto di interesse”</w:t>
        </w:r>
      </w:hyperlink>
    </w:p>
    <w:p w14:paraId="3F579209"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1D8A3CF6"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5B516D1A"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3. Il personale che versa nelle ipotesi di cui al comma 1 ne dà comunicazione alla stazione appaltante o all’ente concedente e si astiene dal partecipare alla procedura di aggiudicazione e all’esecuzione.</w:t>
      </w:r>
    </w:p>
    <w:p w14:paraId="5DD36013" w14:textId="77777777" w:rsidR="004E1EF9" w:rsidRPr="004E1EF9" w:rsidRDefault="004E1EF9" w:rsidP="004E1EF9">
      <w:pPr>
        <w:tabs>
          <w:tab w:val="left" w:pos="6237"/>
          <w:tab w:val="left" w:pos="6804"/>
        </w:tabs>
        <w:jc w:val="both"/>
        <w:rPr>
          <w:rFonts w:ascii="Manrope" w:hAnsi="Manrope"/>
          <w:i/>
          <w:iCs/>
          <w:sz w:val="16"/>
          <w:szCs w:val="16"/>
        </w:rPr>
      </w:pPr>
      <w:r w:rsidRPr="004E1EF9">
        <w:rPr>
          <w:rFonts w:ascii="Manrope" w:hAnsi="Manrope"/>
          <w:i/>
          <w:iCs/>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2A628310" w14:textId="1119ACBF" w:rsidR="009154D9" w:rsidRDefault="009154D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panose1 w:val="00000000000000000000"/>
    <w:charset w:val="00"/>
    <w:family w:val="auto"/>
    <w:pitch w:val="variable"/>
    <w:sig w:usb0="A00008EF" w:usb1="4001205B" w:usb2="00000008" w:usb3="00000000" w:csb0="000000B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altName w:val="Cambria Math"/>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1EA1" w14:textId="77777777" w:rsidR="00D50B92" w:rsidRDefault="00D50B92" w:rsidP="00EC542F">
    <w:pPr>
      <w:pStyle w:val="FooterSX"/>
      <w:spacing w:after="400"/>
      <w:rPr>
        <w:rStyle w:val="bold"/>
        <w:color w:val="44546A" w:themeColor="text2"/>
      </w:rPr>
    </w:pPr>
  </w:p>
  <w:p w14:paraId="61718E2C" w14:textId="6D949CBE" w:rsidR="008C1BCD" w:rsidRPr="008367D7" w:rsidRDefault="008C1BCD" w:rsidP="008C1BCD">
    <w:pPr>
      <w:pStyle w:val="FooterSX"/>
      <w:rPr>
        <w:rStyle w:val="bold"/>
        <w:color w:val="44546A" w:themeColor="text2"/>
      </w:rPr>
    </w:pPr>
    <w:r w:rsidRPr="008367D7">
      <w:rPr>
        <w:rStyle w:val="bold"/>
        <w:color w:val="44546A" w:themeColor="text2"/>
      </w:rPr>
      <w:t>Area Affari Generali e Supporto Strategico</w:t>
    </w:r>
  </w:p>
  <w:p w14:paraId="5C6815D5" w14:textId="77777777" w:rsidR="008C1BCD" w:rsidRPr="008367D7" w:rsidRDefault="008C1BCD" w:rsidP="008C1BCD">
    <w:pPr>
      <w:pStyle w:val="FooterSX"/>
      <w:rPr>
        <w:rStyle w:val="bold"/>
        <w:color w:val="44546A" w:themeColor="text2"/>
      </w:rPr>
    </w:pPr>
    <w:r w:rsidRPr="008367D7">
      <w:rPr>
        <w:rStyle w:val="bold"/>
        <w:color w:val="44546A" w:themeColor="text2"/>
      </w:rPr>
      <w:t xml:space="preserve">Servizio Affari Generali, Normativa Istituzionale e Organi Collegiali </w:t>
    </w:r>
  </w:p>
  <w:p w14:paraId="6387CDA1" w14:textId="5BAF10F7" w:rsidR="008C1BCD" w:rsidRDefault="008C1BCD" w:rsidP="008C1BCD">
    <w:pPr>
      <w:pStyle w:val="Footer"/>
    </w:pPr>
    <w:r w:rsidRPr="008367D7">
      <w:rPr>
        <w:color w:val="44546A" w:themeColor="text2"/>
      </w:rPr>
      <w:t>Piazza Leonardo da Vinci, 32 - 20133 Milano</w:t>
    </w:r>
    <w:r>
      <w:tab/>
    </w:r>
    <w:hyperlink r:id="rId1" w:history="1">
      <w:r w:rsidRPr="00D8518E">
        <w:rPr>
          <w:rStyle w:val="Collegamentoipertestuale"/>
        </w:rPr>
        <w:t>www.polimi.it</w:t>
      </w:r>
    </w:hyperlink>
  </w:p>
  <w:p w14:paraId="551E98CF" w14:textId="77777777" w:rsidR="008C1BCD" w:rsidRPr="008C1BCD" w:rsidRDefault="008C1BCD" w:rsidP="008C1BC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1EA4" w14:textId="77777777" w:rsidR="005260CC" w:rsidRDefault="005260CC" w:rsidP="008C1BCD">
      <w:r>
        <w:separator/>
      </w:r>
    </w:p>
  </w:footnote>
  <w:footnote w:type="continuationSeparator" w:id="0">
    <w:p w14:paraId="656D6C55" w14:textId="77777777" w:rsidR="005260CC" w:rsidRDefault="005260CC" w:rsidP="008C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DBDB" w14:textId="088A6A18" w:rsidR="008C1BCD" w:rsidRDefault="008C1BCD">
    <w:pPr>
      <w:pStyle w:val="Intestazione"/>
    </w:pPr>
    <w:r>
      <w:rPr>
        <w:noProof/>
      </w:rPr>
      <w:drawing>
        <wp:inline distT="0" distB="0" distL="0" distR="0" wp14:anchorId="4114D098" wp14:editId="116C5912">
          <wp:extent cx="1725318" cy="573074"/>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725318" cy="573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C4A"/>
    <w:multiLevelType w:val="hybridMultilevel"/>
    <w:tmpl w:val="3ECA268E"/>
    <w:lvl w:ilvl="0" w:tplc="ED300CCA">
      <w:start w:val="1"/>
      <w:numFmt w:val="bullet"/>
      <w:lvlText w:val="-"/>
      <w:lvlJc w:val="left"/>
      <w:pPr>
        <w:ind w:left="360" w:hanging="360"/>
      </w:pPr>
      <w:rPr>
        <w:rFonts w:ascii="Verdana" w:hAnsi="Verdana" w:hint="default"/>
        <w:color w:val="auto"/>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608073D"/>
    <w:multiLevelType w:val="hybridMultilevel"/>
    <w:tmpl w:val="A0685F44"/>
    <w:lvl w:ilvl="0" w:tplc="ADBECA00">
      <w:start w:val="1"/>
      <w:numFmt w:val="decimal"/>
      <w:pStyle w:val="ELENCOol"/>
      <w:lvlText w:val="%1."/>
      <w:lvlJc w:val="left"/>
      <w:pPr>
        <w:ind w:left="720" w:hanging="360"/>
      </w:pPr>
      <w:rPr>
        <w:rFonts w:hint="default"/>
      </w:rPr>
    </w:lvl>
    <w:lvl w:ilvl="1" w:tplc="BF8A80BC">
      <w:start w:val="1"/>
      <w:numFmt w:val="bullet"/>
      <w:pStyle w:val="ELENCOul2livello"/>
      <w:lvlText w:val=""/>
      <w:lvlJc w:val="left"/>
      <w:pPr>
        <w:ind w:left="1440" w:hanging="360"/>
      </w:pPr>
      <w:rPr>
        <w:rFonts w:ascii="Symbol" w:hAnsi="Symbol" w:hint="default"/>
      </w:rPr>
    </w:lvl>
    <w:lvl w:ilvl="2" w:tplc="1068CD54">
      <w:start w:val="4"/>
      <w:numFmt w:val="bullet"/>
      <w:lvlText w:val="-"/>
      <w:lvlJc w:val="left"/>
      <w:pPr>
        <w:ind w:left="2160" w:hanging="360"/>
      </w:pPr>
      <w:rPr>
        <w:rFonts w:ascii="Manrope" w:eastAsiaTheme="minorHAnsi" w:hAnsi="Manrope" w:cs="Frank Ruhl Libr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21CBB"/>
    <w:multiLevelType w:val="hybridMultilevel"/>
    <w:tmpl w:val="241A6372"/>
    <w:lvl w:ilvl="0" w:tplc="7362DEE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9518E"/>
    <w:multiLevelType w:val="hybridMultilevel"/>
    <w:tmpl w:val="42F88C66"/>
    <w:lvl w:ilvl="0" w:tplc="91387E2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4909EC"/>
    <w:multiLevelType w:val="hybridMultilevel"/>
    <w:tmpl w:val="CCCE9A20"/>
    <w:lvl w:ilvl="0" w:tplc="938E4656">
      <w:start w:val="1"/>
      <w:numFmt w:val="bullet"/>
      <w:lvlText w:val="-"/>
      <w:lvlJc w:val="left"/>
      <w:pPr>
        <w:ind w:left="360" w:hanging="360"/>
      </w:pPr>
      <w:rPr>
        <w:rFonts w:ascii="Verdana" w:hAnsi="Verdana" w:hint="default"/>
        <w:color w:val="auto"/>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C730485"/>
    <w:multiLevelType w:val="hybridMultilevel"/>
    <w:tmpl w:val="CA2235EC"/>
    <w:lvl w:ilvl="0" w:tplc="91387E22">
      <w:start w:val="1"/>
      <w:numFmt w:val="bullet"/>
      <w:lvlText w:val="-"/>
      <w:lvlJc w:val="left"/>
      <w:pPr>
        <w:ind w:left="360" w:hanging="360"/>
      </w:pPr>
      <w:rPr>
        <w:rFonts w:ascii="Verdana" w:hAnsi="Verdana" w:hint="default"/>
        <w:color w:val="auto"/>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1512B35"/>
    <w:multiLevelType w:val="hybridMultilevel"/>
    <w:tmpl w:val="58F063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DE2E5D"/>
    <w:multiLevelType w:val="hybridMultilevel"/>
    <w:tmpl w:val="B9F2228A"/>
    <w:lvl w:ilvl="0" w:tplc="31588870">
      <w:start w:val="1"/>
      <w:numFmt w:val="bullet"/>
      <w:lvlText w:val="-"/>
      <w:lvlJc w:val="left"/>
      <w:pPr>
        <w:ind w:left="360" w:hanging="360"/>
      </w:pPr>
      <w:rPr>
        <w:rFonts w:ascii="Verdana" w:hAnsi="Verdana" w:hint="default"/>
        <w:color w:val="auto"/>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0"/>
    <w:rsid w:val="0003209D"/>
    <w:rsid w:val="000529E6"/>
    <w:rsid w:val="00055530"/>
    <w:rsid w:val="00162E69"/>
    <w:rsid w:val="00176A12"/>
    <w:rsid w:val="001A17D5"/>
    <w:rsid w:val="001A2BCF"/>
    <w:rsid w:val="002254BB"/>
    <w:rsid w:val="00294C71"/>
    <w:rsid w:val="003207EE"/>
    <w:rsid w:val="00332EAB"/>
    <w:rsid w:val="003631BD"/>
    <w:rsid w:val="00376FD0"/>
    <w:rsid w:val="00381A0F"/>
    <w:rsid w:val="00495857"/>
    <w:rsid w:val="004E1EF9"/>
    <w:rsid w:val="004E22DB"/>
    <w:rsid w:val="004F36FD"/>
    <w:rsid w:val="005156E5"/>
    <w:rsid w:val="005260CC"/>
    <w:rsid w:val="00561526"/>
    <w:rsid w:val="005809E9"/>
    <w:rsid w:val="005B047B"/>
    <w:rsid w:val="005F60AA"/>
    <w:rsid w:val="005F6E51"/>
    <w:rsid w:val="00692A5F"/>
    <w:rsid w:val="006B1CD4"/>
    <w:rsid w:val="006D3747"/>
    <w:rsid w:val="006F1B75"/>
    <w:rsid w:val="00771EFC"/>
    <w:rsid w:val="007B2D4F"/>
    <w:rsid w:val="007E77AD"/>
    <w:rsid w:val="008367D7"/>
    <w:rsid w:val="0084700D"/>
    <w:rsid w:val="00865A39"/>
    <w:rsid w:val="008A3DFB"/>
    <w:rsid w:val="008C1BCD"/>
    <w:rsid w:val="008C64B2"/>
    <w:rsid w:val="009154D9"/>
    <w:rsid w:val="0098081A"/>
    <w:rsid w:val="0098320D"/>
    <w:rsid w:val="00984002"/>
    <w:rsid w:val="00990BDB"/>
    <w:rsid w:val="00A16C90"/>
    <w:rsid w:val="00A235BF"/>
    <w:rsid w:val="00B34496"/>
    <w:rsid w:val="00B539D4"/>
    <w:rsid w:val="00BB656B"/>
    <w:rsid w:val="00BF5C0E"/>
    <w:rsid w:val="00C0497A"/>
    <w:rsid w:val="00C23607"/>
    <w:rsid w:val="00C37142"/>
    <w:rsid w:val="00C97394"/>
    <w:rsid w:val="00CC5EA0"/>
    <w:rsid w:val="00D35FD8"/>
    <w:rsid w:val="00D36D23"/>
    <w:rsid w:val="00D50B92"/>
    <w:rsid w:val="00D50E54"/>
    <w:rsid w:val="00DA02DE"/>
    <w:rsid w:val="00E14459"/>
    <w:rsid w:val="00EC542F"/>
    <w:rsid w:val="00EE4277"/>
    <w:rsid w:val="00EF5E7E"/>
    <w:rsid w:val="00FB1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9D0A4"/>
  <w15:chartTrackingRefBased/>
  <w15:docId w15:val="{998D729A-13C3-48D0-A1AE-C0DD99E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B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1BCD"/>
    <w:pPr>
      <w:tabs>
        <w:tab w:val="center" w:pos="4819"/>
        <w:tab w:val="right" w:pos="9638"/>
      </w:tabs>
    </w:pPr>
  </w:style>
  <w:style w:type="character" w:customStyle="1" w:styleId="IntestazioneCarattere">
    <w:name w:val="Intestazione Carattere"/>
    <w:basedOn w:val="Carpredefinitoparagrafo"/>
    <w:link w:val="Intestazione"/>
    <w:uiPriority w:val="99"/>
    <w:rsid w:val="008C1BCD"/>
  </w:style>
  <w:style w:type="paragraph" w:styleId="Pidipagina">
    <w:name w:val="footer"/>
    <w:basedOn w:val="Normale"/>
    <w:link w:val="PidipaginaCarattere"/>
    <w:uiPriority w:val="99"/>
    <w:unhideWhenUsed/>
    <w:rsid w:val="008C1BCD"/>
    <w:pPr>
      <w:tabs>
        <w:tab w:val="center" w:pos="4819"/>
        <w:tab w:val="right" w:pos="9638"/>
      </w:tabs>
    </w:pPr>
  </w:style>
  <w:style w:type="character" w:customStyle="1" w:styleId="PidipaginaCarattere">
    <w:name w:val="Piè di pagina Carattere"/>
    <w:basedOn w:val="Carpredefinitoparagrafo"/>
    <w:link w:val="Pidipagina"/>
    <w:uiPriority w:val="99"/>
    <w:rsid w:val="008C1BCD"/>
  </w:style>
  <w:style w:type="paragraph" w:customStyle="1" w:styleId="Footer">
    <w:name w:val="_Footer"/>
    <w:basedOn w:val="Normale"/>
    <w:qFormat/>
    <w:rsid w:val="008C1BCD"/>
    <w:pPr>
      <w:tabs>
        <w:tab w:val="right" w:pos="9638"/>
      </w:tabs>
    </w:pPr>
    <w:rPr>
      <w:rFonts w:ascii="Manrope" w:hAnsi="Manrope" w:cstheme="majorHAnsi"/>
      <w:color w:val="4472C4" w:themeColor="accent1"/>
      <w:sz w:val="16"/>
      <w:szCs w:val="16"/>
    </w:rPr>
  </w:style>
  <w:style w:type="character" w:customStyle="1" w:styleId="bold">
    <w:name w:val="_bold"/>
    <w:basedOn w:val="Carpredefinitoparagrafo"/>
    <w:uiPriority w:val="1"/>
    <w:qFormat/>
    <w:rsid w:val="008C1BCD"/>
    <w:rPr>
      <w:rFonts w:ascii="Manrope" w:hAnsi="Manrope"/>
      <w:b/>
      <w:bCs/>
    </w:rPr>
  </w:style>
  <w:style w:type="paragraph" w:customStyle="1" w:styleId="FooterSX">
    <w:name w:val="_Footer_SX"/>
    <w:basedOn w:val="Normale"/>
    <w:qFormat/>
    <w:rsid w:val="008C1BCD"/>
    <w:rPr>
      <w:rFonts w:ascii="Manrope" w:hAnsi="Manrope" w:cstheme="majorHAnsi"/>
      <w:color w:val="4472C4" w:themeColor="accent1"/>
      <w:sz w:val="16"/>
      <w:szCs w:val="16"/>
    </w:rPr>
  </w:style>
  <w:style w:type="character" w:styleId="Collegamentoipertestuale">
    <w:name w:val="Hyperlink"/>
    <w:basedOn w:val="Carpredefinitoparagrafo"/>
    <w:uiPriority w:val="99"/>
    <w:unhideWhenUsed/>
    <w:rsid w:val="008C1BCD"/>
    <w:rPr>
      <w:color w:val="0563C1" w:themeColor="hyperlink"/>
      <w:u w:val="single"/>
    </w:rPr>
  </w:style>
  <w:style w:type="character" w:styleId="Menzionenonrisolta">
    <w:name w:val="Unresolved Mention"/>
    <w:basedOn w:val="Carpredefinitoparagrafo"/>
    <w:uiPriority w:val="99"/>
    <w:semiHidden/>
    <w:unhideWhenUsed/>
    <w:rsid w:val="008C1BCD"/>
    <w:rPr>
      <w:color w:val="605E5C"/>
      <w:shd w:val="clear" w:color="auto" w:fill="E1DFDD"/>
    </w:rPr>
  </w:style>
  <w:style w:type="paragraph" w:styleId="Paragrafoelenco">
    <w:name w:val="List Paragraph"/>
    <w:basedOn w:val="Normale"/>
    <w:uiPriority w:val="34"/>
    <w:qFormat/>
    <w:rsid w:val="008C1BCD"/>
    <w:pPr>
      <w:ind w:left="720"/>
      <w:contextualSpacing/>
    </w:pPr>
    <w:rPr>
      <w:lang w:eastAsia="en-US"/>
    </w:rPr>
  </w:style>
  <w:style w:type="paragraph" w:styleId="NormaleWeb">
    <w:name w:val="Normal (Web)"/>
    <w:basedOn w:val="Normale"/>
    <w:uiPriority w:val="99"/>
    <w:unhideWhenUsed/>
    <w:rsid w:val="008C1BCD"/>
    <w:pPr>
      <w:spacing w:before="100" w:beforeAutospacing="1" w:after="100" w:afterAutospacing="1"/>
    </w:pPr>
    <w:rPr>
      <w:lang w:eastAsia="en-US"/>
    </w:rPr>
  </w:style>
  <w:style w:type="paragraph" w:customStyle="1" w:styleId="ELENCOol">
    <w:name w:val="_ELENCO_ol"/>
    <w:basedOn w:val="Normale"/>
    <w:qFormat/>
    <w:rsid w:val="008C1BCD"/>
    <w:pPr>
      <w:numPr>
        <w:numId w:val="5"/>
      </w:numPr>
      <w:spacing w:line="259" w:lineRule="auto"/>
      <w:ind w:left="360"/>
    </w:pPr>
    <w:rPr>
      <w:rFonts w:ascii="Manrope" w:eastAsiaTheme="minorHAnsi" w:hAnsi="Manrope" w:cs="Frank Ruhl Libre"/>
      <w:sz w:val="20"/>
      <w:szCs w:val="20"/>
      <w:lang w:val="en-GB" w:eastAsia="en-US"/>
    </w:rPr>
  </w:style>
  <w:style w:type="paragraph" w:customStyle="1" w:styleId="ELENCOul2livello">
    <w:name w:val="_ELENCO_ul_2livello"/>
    <w:basedOn w:val="Normale"/>
    <w:qFormat/>
    <w:rsid w:val="008C1BCD"/>
    <w:pPr>
      <w:numPr>
        <w:ilvl w:val="1"/>
        <w:numId w:val="5"/>
      </w:numPr>
      <w:spacing w:line="259" w:lineRule="auto"/>
    </w:pPr>
    <w:rPr>
      <w:rFonts w:ascii="Manrope" w:eastAsiaTheme="minorHAnsi" w:hAnsi="Manrope" w:cs="Frank Ruhl Libre"/>
      <w:sz w:val="20"/>
      <w:szCs w:val="20"/>
      <w:lang w:val="en-GB" w:eastAsia="en-US"/>
    </w:rPr>
  </w:style>
  <w:style w:type="character" w:styleId="Collegamentovisitato">
    <w:name w:val="FollowedHyperlink"/>
    <w:basedOn w:val="Carpredefinitoparagrafo"/>
    <w:uiPriority w:val="99"/>
    <w:semiHidden/>
    <w:unhideWhenUsed/>
    <w:rsid w:val="00CC5EA0"/>
    <w:rPr>
      <w:color w:val="954F72" w:themeColor="followedHyperlink"/>
      <w:u w:val="single"/>
    </w:rPr>
  </w:style>
  <w:style w:type="table" w:styleId="Grigliatabella">
    <w:name w:val="Table Grid"/>
    <w:basedOn w:val="Tabellanormale"/>
    <w:uiPriority w:val="39"/>
    <w:rsid w:val="0049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statina">
    <w:name w:val="_TAB_testatina"/>
    <w:basedOn w:val="Normale"/>
    <w:qFormat/>
    <w:rsid w:val="00495857"/>
    <w:pPr>
      <w:jc w:val="right"/>
    </w:pPr>
    <w:rPr>
      <w:rFonts w:ascii="Manrope" w:eastAsiaTheme="minorHAnsi" w:hAnsi="Manrope" w:cs="Frank Ruhl Libre"/>
      <w:b/>
      <w:bCs/>
      <w:sz w:val="20"/>
      <w:szCs w:val="20"/>
      <w:lang w:eastAsia="en-US"/>
    </w:rPr>
  </w:style>
  <w:style w:type="paragraph" w:customStyle="1" w:styleId="TABbody">
    <w:name w:val="_TAB_body"/>
    <w:basedOn w:val="Normale"/>
    <w:qFormat/>
    <w:rsid w:val="00495857"/>
    <w:rPr>
      <w:rFonts w:ascii="Manrope" w:eastAsiaTheme="minorHAnsi" w:hAnsi="Manrope" w:cs="Frank Ruhl Libre"/>
      <w:sz w:val="20"/>
      <w:szCs w:val="20"/>
      <w:lang w:eastAsia="en-US"/>
    </w:rPr>
  </w:style>
  <w:style w:type="paragraph" w:customStyle="1" w:styleId="Titolo2">
    <w:name w:val="_Titolo2"/>
    <w:basedOn w:val="Normale"/>
    <w:next w:val="Normale"/>
    <w:qFormat/>
    <w:rsid w:val="00381A0F"/>
    <w:pPr>
      <w:spacing w:before="400" w:after="200" w:line="259" w:lineRule="auto"/>
    </w:pPr>
    <w:rPr>
      <w:rFonts w:ascii="Manrope" w:eastAsiaTheme="minorHAnsi" w:hAnsi="Manrope" w:cs="Frank Ruhl Libre"/>
      <w:b/>
      <w:bCs/>
      <w:color w:val="4472C4" w:themeColor="accent1"/>
      <w:sz w:val="32"/>
      <w:szCs w:val="20"/>
      <w:lang w:val="en-GB" w:eastAsia="en-US"/>
    </w:rPr>
  </w:style>
  <w:style w:type="paragraph" w:styleId="Testonotadichiusura">
    <w:name w:val="endnote text"/>
    <w:basedOn w:val="Normale"/>
    <w:link w:val="TestonotadichiusuraCarattere"/>
    <w:uiPriority w:val="99"/>
    <w:semiHidden/>
    <w:unhideWhenUsed/>
    <w:rsid w:val="005156E5"/>
    <w:rPr>
      <w:sz w:val="20"/>
      <w:szCs w:val="20"/>
    </w:rPr>
  </w:style>
  <w:style w:type="character" w:customStyle="1" w:styleId="TestonotadichiusuraCarattere">
    <w:name w:val="Testo nota di chiusura Carattere"/>
    <w:basedOn w:val="Carpredefinitoparagrafo"/>
    <w:link w:val="Testonotadichiusura"/>
    <w:uiPriority w:val="99"/>
    <w:semiHidden/>
    <w:rsid w:val="005156E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515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iva.polimi.it/fileadmin/user_upload/regolamenti/codici/Codice_Etico_e_di_comportamento_del_Politecnico_di_Milano_-_modific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mi.it/fileadmin/user_upload/Il-Politecnico/privacy/2024_07_30_Informativa_Commissari_di_gara_RUP_e_DEC_-_Vers_luglio_2024.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nticorruzione@polimi.it" TargetMode="External"/><Relationship Id="rId4" Type="http://schemas.openxmlformats.org/officeDocument/2006/relationships/settings" Target="settings.xml"/><Relationship Id="rId9" Type="http://schemas.openxmlformats.org/officeDocument/2006/relationships/hyperlink" Target="https://trasparenza.polimi.it/contenuto35853_piano-integrato-di-attivit-e-organizzazione_711.htm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ormattiva.it/atto/caricaDettaglioAtto?atto.dataPubblicazioneGazzetta=2001-05-09&amp;atto.codiceRedazionale=001G0219&amp;atto.articolo.numero=0&amp;atto.articolo.sottoArticolo=1&amp;atto.articolo.sottoArticolo1=0&amp;qId=a37af1ee-1bbb-48d2-bb5b-5be7c8b1c11b&amp;tabID=0.2726823508117856&amp;title=lbl.dettaglioAtto" TargetMode="External"/><Relationship Id="rId2" Type="http://schemas.openxmlformats.org/officeDocument/2006/relationships/hyperlink" Target="https://www.normattiva.it/uri-res/N2Ls?urn:nir:stato:regio.decreto:1940-10-28;1443:1~art51" TargetMode="External"/><Relationship Id="rId1" Type="http://schemas.openxmlformats.org/officeDocument/2006/relationships/hyperlink" Target="https://www.normativa.polimi.it/strumenti/dettaglio-regolamento/regolamento" TargetMode="External"/><Relationship Id="rId4" Type="http://schemas.openxmlformats.org/officeDocument/2006/relationships/hyperlink" Target="https://www.normattiva.it/atto/caricaDettaglioAtto?atto.dataPubblicazioneGazzetta=2023-03-31&amp;atto.codiceRedazionale=23G00044&amp;atto.articolo.numero=0&amp;atto.articolo.sottoArticolo=1&amp;atto.articolo.sottoArticolo1=0&amp;qId=cd7da2b1-024e-4096-8b51-7fd3468505c4&amp;tabID=0.6849180561021012&amp;title=lbl.dettaglioAtt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l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A603D279C40A4926E3D80E897EE91"/>
        <w:category>
          <w:name w:val="Generale"/>
          <w:gallery w:val="placeholder"/>
        </w:category>
        <w:types>
          <w:type w:val="bbPlcHdr"/>
        </w:types>
        <w:behaviors>
          <w:behavior w:val="content"/>
        </w:behaviors>
        <w:guid w:val="{4B7B95BE-EE03-4862-8A9C-3328A6887FE7}"/>
      </w:docPartPr>
      <w:docPartBody>
        <w:p w:rsidR="003919E3" w:rsidRDefault="00FD1F88" w:rsidP="00FD1F88">
          <w:pPr>
            <w:pStyle w:val="F96A603D279C40A4926E3D80E897EE91"/>
          </w:pPr>
          <w:r w:rsidRPr="009E47E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panose1 w:val="00000000000000000000"/>
    <w:charset w:val="00"/>
    <w:family w:val="auto"/>
    <w:pitch w:val="variable"/>
    <w:sig w:usb0="A00008EF" w:usb1="4001205B" w:usb2="00000008" w:usb3="00000000" w:csb0="000000B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altName w:val="Cambria Math"/>
    <w:charset w:val="00"/>
    <w:family w:val="roman"/>
    <w:pitch w:val="variable"/>
    <w:sig w:usb0="6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88"/>
    <w:rsid w:val="00161965"/>
    <w:rsid w:val="00387FBA"/>
    <w:rsid w:val="003919E3"/>
    <w:rsid w:val="003C77B4"/>
    <w:rsid w:val="00FD1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1F88"/>
    <w:rPr>
      <w:color w:val="808080"/>
    </w:rPr>
  </w:style>
  <w:style w:type="paragraph" w:customStyle="1" w:styleId="F96A603D279C40A4926E3D80E897EE91">
    <w:name w:val="F96A603D279C40A4926E3D80E897EE91"/>
    <w:rsid w:val="00FD1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15B6-1AAA-423E-9F6F-0F7B322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Forlani</dc:creator>
  <cp:keywords/>
  <dc:description/>
  <cp:lastModifiedBy>Silvia Forlani</cp:lastModifiedBy>
  <cp:revision>19</cp:revision>
  <dcterms:created xsi:type="dcterms:W3CDTF">2025-08-01T10:06:00Z</dcterms:created>
  <dcterms:modified xsi:type="dcterms:W3CDTF">2025-08-01T12:53:00Z</dcterms:modified>
</cp:coreProperties>
</file>